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Pr="00BA5EC5" w:rsidRDefault="006816EC" w:rsidP="006816EC">
      <w:pPr>
        <w:suppressLineNumbers/>
        <w:rPr>
          <w:b/>
          <w:bCs/>
          <w:sz w:val="26"/>
          <w:szCs w:val="26"/>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BA5EC5" w:rsidTr="006816EC">
        <w:trPr>
          <w:jc w:val="center"/>
        </w:trPr>
        <w:tc>
          <w:tcPr>
            <w:tcW w:w="743" w:type="dxa"/>
            <w:hideMark/>
          </w:tcPr>
          <w:p w:rsidR="006816EC" w:rsidRPr="00BA5EC5" w:rsidRDefault="00295DD1">
            <w:pPr>
              <w:jc w:val="both"/>
              <w:rPr>
                <w:rFonts w:ascii="Arial (W1)" w:hAnsi="Arial (W1)"/>
                <w:b/>
                <w:bCs/>
                <w:sz w:val="26"/>
                <w:szCs w:val="26"/>
              </w:rPr>
            </w:pPr>
            <w:r w:rsidRPr="00BA5EC5">
              <w:rPr>
                <w:rFonts w:hint="cs"/>
                <w:b/>
                <w:bCs/>
                <w:sz w:val="26"/>
                <w:szCs w:val="26"/>
                <w:rtl/>
              </w:rPr>
              <w:t>ל</w:t>
            </w:r>
            <w:r w:rsidR="006816EC" w:rsidRPr="00BA5EC5">
              <w:rPr>
                <w:rFonts w:hint="cs"/>
                <w:b/>
                <w:bCs/>
                <w:sz w:val="26"/>
                <w:szCs w:val="26"/>
                <w:rtl/>
              </w:rPr>
              <w:t xml:space="preserve">פני </w:t>
            </w:r>
          </w:p>
        </w:tc>
        <w:tc>
          <w:tcPr>
            <w:tcW w:w="8077" w:type="dxa"/>
            <w:gridSpan w:val="2"/>
            <w:hideMark/>
          </w:tcPr>
          <w:p w:rsidR="006816EC" w:rsidRPr="00BA5EC5" w:rsidRDefault="00B32C61" w:rsidP="006816EC">
            <w:pPr>
              <w:rPr>
                <w:rFonts w:ascii="Arial" w:hAnsi="Arial"/>
                <w:b/>
                <w:bCs/>
                <w:sz w:val="26"/>
                <w:szCs w:val="26"/>
                <w:rtl/>
              </w:rPr>
            </w:pPr>
            <w:r w:rsidRPr="00BA5EC5">
              <w:rPr>
                <w:rFonts w:ascii="Arial" w:hAnsi="Arial" w:hint="cs"/>
                <w:b/>
                <w:bCs/>
                <w:sz w:val="26"/>
                <w:szCs w:val="26"/>
                <w:rtl/>
              </w:rPr>
              <w:t>כבוד</w:t>
            </w:r>
            <w:r w:rsidR="006816EC" w:rsidRPr="00BA5EC5">
              <w:rPr>
                <w:rFonts w:ascii="Arial" w:hAnsi="Arial" w:hint="cs"/>
                <w:b/>
                <w:bCs/>
                <w:sz w:val="26"/>
                <w:szCs w:val="26"/>
                <w:rtl/>
              </w:rPr>
              <w:t xml:space="preserve"> ה</w:t>
            </w:r>
            <w:sdt>
              <w:sdtPr>
                <w:rPr>
                  <w:b/>
                  <w:bCs/>
                  <w:sz w:val="26"/>
                  <w:szCs w:val="26"/>
                  <w:rtl/>
                </w:rPr>
                <w:alias w:val="1574"/>
                <w:tag w:val="1574"/>
                <w:id w:val="-868990752"/>
                <w:text w:multiLine="1"/>
              </w:sdtPr>
              <w:sdtEndPr/>
              <w:sdtContent>
                <w:r w:rsidRPr="00BA5EC5">
                  <w:rPr>
                    <w:rFonts w:ascii="Arial" w:hAnsi="Arial"/>
                    <w:b/>
                    <w:bCs/>
                    <w:sz w:val="26"/>
                    <w:szCs w:val="26"/>
                    <w:rtl/>
                  </w:rPr>
                  <w:t>שופטת</w:t>
                </w:r>
              </w:sdtContent>
            </w:sdt>
            <w:r w:rsidR="006816EC" w:rsidRPr="00BA5EC5">
              <w:rPr>
                <w:rFonts w:ascii="Arial" w:hAnsi="Arial" w:hint="cs"/>
                <w:b/>
                <w:bCs/>
                <w:sz w:val="26"/>
                <w:szCs w:val="26"/>
                <w:rtl/>
              </w:rPr>
              <w:t xml:space="preserve">  </w:t>
            </w:r>
            <w:sdt>
              <w:sdtPr>
                <w:rPr>
                  <w:b/>
                  <w:bCs/>
                  <w:sz w:val="26"/>
                  <w:szCs w:val="26"/>
                  <w:rtl/>
                </w:rPr>
                <w:alias w:val="1573"/>
                <w:tag w:val="1573"/>
                <w:id w:val="407734867"/>
                <w:text w:multiLine="1"/>
              </w:sdtPr>
              <w:sdtEndPr/>
              <w:sdtContent>
                <w:r w:rsidRPr="00BA5EC5">
                  <w:rPr>
                    <w:rFonts w:ascii="Arial" w:hAnsi="Arial"/>
                    <w:b/>
                    <w:bCs/>
                    <w:sz w:val="26"/>
                    <w:szCs w:val="26"/>
                    <w:rtl/>
                  </w:rPr>
                  <w:t>נועה גרוסמן</w:t>
                </w:r>
              </w:sdtContent>
            </w:sdt>
          </w:p>
          <w:p w:rsidR="006816EC" w:rsidRPr="00BA5EC5" w:rsidRDefault="006816EC" w:rsidP="006816EC">
            <w:pPr>
              <w:rPr>
                <w:b/>
                <w:bCs/>
                <w:sz w:val="26"/>
                <w:szCs w:val="26"/>
              </w:rPr>
            </w:pPr>
          </w:p>
        </w:tc>
      </w:tr>
      <w:tr w:rsidR="006816EC" w:rsidRPr="00BA5EC5" w:rsidTr="006816EC">
        <w:trPr>
          <w:jc w:val="center"/>
        </w:trPr>
        <w:tc>
          <w:tcPr>
            <w:tcW w:w="3249" w:type="dxa"/>
            <w:gridSpan w:val="2"/>
          </w:tcPr>
          <w:p w:rsidR="006816EC" w:rsidRPr="00BA5EC5" w:rsidRDefault="006816EC">
            <w:pPr>
              <w:bidi w:val="0"/>
              <w:rPr>
                <w:rFonts w:ascii="Arial (W1)" w:hAnsi="Arial (W1)"/>
                <w:b/>
                <w:bCs/>
                <w:noProof w:val="0"/>
                <w:sz w:val="26"/>
                <w:szCs w:val="26"/>
                <w:rtl/>
              </w:rPr>
            </w:pPr>
          </w:p>
          <w:sdt>
            <w:sdtPr>
              <w:rPr>
                <w:rFonts w:hint="cs"/>
                <w:b/>
                <w:bCs/>
                <w:sz w:val="26"/>
                <w:szCs w:val="26"/>
                <w:rtl/>
              </w:rPr>
              <w:alias w:val="1180"/>
              <w:tag w:val="1180"/>
              <w:id w:val="-803768281"/>
              <w:text w:multiLine="1"/>
            </w:sdtPr>
            <w:sdtEndPr/>
            <w:sdtContent>
              <w:p w:rsidR="009D64AC" w:rsidRPr="00BA5EC5" w:rsidRDefault="00BA5EC5" w:rsidP="00BA5EC5">
                <w:pPr>
                  <w:rPr>
                    <w:rFonts w:ascii="Arial (W1)" w:hAnsi="Arial (W1)"/>
                    <w:b/>
                    <w:bCs/>
                    <w:noProof w:val="0"/>
                    <w:sz w:val="26"/>
                    <w:szCs w:val="26"/>
                  </w:rPr>
                </w:pPr>
                <w:r w:rsidRPr="00BA5EC5">
                  <w:rPr>
                    <w:rFonts w:hint="cs"/>
                    <w:b/>
                    <w:bCs/>
                    <w:noProof w:val="0"/>
                    <w:sz w:val="26"/>
                    <w:szCs w:val="26"/>
                    <w:rtl/>
                  </w:rPr>
                  <w:t xml:space="preserve">מערערת / </w:t>
                </w:r>
                <w:r w:rsidRPr="00BA5EC5">
                  <w:rPr>
                    <w:b/>
                    <w:bCs/>
                    <w:noProof w:val="0"/>
                    <w:sz w:val="26"/>
                    <w:szCs w:val="26"/>
                    <w:rtl/>
                  </w:rPr>
                  <w:br/>
                </w:r>
                <w:r w:rsidRPr="00BA5EC5">
                  <w:rPr>
                    <w:rFonts w:hint="cs"/>
                    <w:b/>
                    <w:bCs/>
                    <w:sz w:val="26"/>
                    <w:szCs w:val="26"/>
                    <w:rtl/>
                  </w:rPr>
                  <w:t xml:space="preserve">משיבה בערעור </w:t>
                </w:r>
                <w:r>
                  <w:rPr>
                    <w:rFonts w:hint="cs"/>
                    <w:b/>
                    <w:bCs/>
                    <w:sz w:val="26"/>
                    <w:szCs w:val="26"/>
                    <w:rtl/>
                  </w:rPr>
                  <w:t>משיב</w:t>
                </w:r>
              </w:p>
            </w:sdtContent>
          </w:sdt>
        </w:tc>
        <w:tc>
          <w:tcPr>
            <w:tcW w:w="5571" w:type="dxa"/>
          </w:tcPr>
          <w:p w:rsidR="006816EC" w:rsidRPr="00BA5EC5" w:rsidRDefault="006816EC">
            <w:pPr>
              <w:rPr>
                <w:rFonts w:ascii="Arial (W1)" w:hAnsi="Arial (W1)"/>
                <w:b/>
                <w:bCs/>
                <w:noProof w:val="0"/>
                <w:sz w:val="26"/>
                <w:szCs w:val="26"/>
                <w:rtl/>
              </w:rPr>
            </w:pPr>
          </w:p>
          <w:p w:rsidR="00295DD1" w:rsidRPr="00BA5EC5" w:rsidRDefault="002B31A3" w:rsidP="004451B7">
            <w:pPr>
              <w:rPr>
                <w:b/>
                <w:bCs/>
                <w:sz w:val="26"/>
                <w:szCs w:val="26"/>
                <w:rtl/>
              </w:rPr>
            </w:pPr>
            <w:sdt>
              <w:sdtPr>
                <w:rPr>
                  <w:rFonts w:hint="cs"/>
                  <w:b/>
                  <w:bCs/>
                  <w:sz w:val="26"/>
                  <w:szCs w:val="26"/>
                  <w:rtl/>
                </w:rPr>
                <w:alias w:val="1478"/>
                <w:tag w:val="1478"/>
                <w:id w:val="160126198"/>
                <w:text w:multiLine="1"/>
              </w:sdtPr>
              <w:sdtEndPr/>
              <w:sdtContent>
                <w:r w:rsidR="004451B7">
                  <w:rPr>
                    <w:rFonts w:hint="cs"/>
                    <w:b/>
                    <w:bCs/>
                    <w:noProof w:val="0"/>
                    <w:sz w:val="26"/>
                    <w:szCs w:val="26"/>
                    <w:rtl/>
                  </w:rPr>
                  <w:t>פלונית</w:t>
                </w:r>
              </w:sdtContent>
            </w:sdt>
          </w:p>
          <w:p w:rsidR="006816EC" w:rsidRPr="00BA5EC5" w:rsidRDefault="00295DD1">
            <w:pPr>
              <w:rPr>
                <w:rFonts w:ascii="Arial (W1)" w:hAnsi="Arial (W1)"/>
                <w:b/>
                <w:bCs/>
                <w:noProof w:val="0"/>
                <w:sz w:val="26"/>
                <w:szCs w:val="26"/>
              </w:rPr>
            </w:pPr>
            <w:r w:rsidRPr="00BA5EC5">
              <w:rPr>
                <w:rFonts w:hint="cs"/>
                <w:b/>
                <w:bCs/>
                <w:sz w:val="26"/>
                <w:szCs w:val="26"/>
                <w:rtl/>
              </w:rPr>
              <w:t>ע"י ב"כ עו"ד</w:t>
            </w:r>
            <w:r w:rsidR="00BA5EC5" w:rsidRPr="00BA5EC5">
              <w:rPr>
                <w:rFonts w:ascii="Arial (W1)" w:hAnsi="Arial (W1)" w:hint="cs"/>
                <w:b/>
                <w:bCs/>
                <w:noProof w:val="0"/>
                <w:sz w:val="26"/>
                <w:szCs w:val="26"/>
                <w:rtl/>
              </w:rPr>
              <w:t xml:space="preserve"> רעות מור </w:t>
            </w:r>
          </w:p>
        </w:tc>
      </w:tr>
      <w:tr w:rsidR="006816EC" w:rsidRPr="00BA5EC5" w:rsidTr="006816EC">
        <w:trPr>
          <w:jc w:val="center"/>
        </w:trPr>
        <w:tc>
          <w:tcPr>
            <w:tcW w:w="8820" w:type="dxa"/>
            <w:gridSpan w:val="3"/>
          </w:tcPr>
          <w:p w:rsidR="006816EC" w:rsidRPr="00BA5EC5" w:rsidRDefault="006816EC">
            <w:pPr>
              <w:rPr>
                <w:rFonts w:ascii="Arial (W1)" w:hAnsi="Arial (W1)"/>
                <w:b/>
                <w:bCs/>
                <w:noProof w:val="0"/>
                <w:sz w:val="26"/>
                <w:szCs w:val="26"/>
                <w:rtl/>
              </w:rPr>
            </w:pPr>
          </w:p>
          <w:p w:rsidR="006816EC" w:rsidRPr="00BA5EC5" w:rsidRDefault="006816EC">
            <w:pPr>
              <w:jc w:val="center"/>
              <w:rPr>
                <w:b/>
                <w:bCs/>
                <w:noProof w:val="0"/>
                <w:sz w:val="26"/>
                <w:szCs w:val="26"/>
                <w:rtl/>
              </w:rPr>
            </w:pPr>
            <w:r w:rsidRPr="00BA5EC5">
              <w:rPr>
                <w:rFonts w:hint="cs"/>
                <w:b/>
                <w:bCs/>
                <w:noProof w:val="0"/>
                <w:sz w:val="26"/>
                <w:szCs w:val="26"/>
                <w:rtl/>
              </w:rPr>
              <w:t>נגד</w:t>
            </w:r>
          </w:p>
          <w:p w:rsidR="006816EC" w:rsidRPr="00BA5EC5" w:rsidRDefault="006816EC">
            <w:pPr>
              <w:rPr>
                <w:rFonts w:ascii="Arial (W1)" w:hAnsi="Arial (W1)"/>
                <w:b/>
                <w:bCs/>
                <w:noProof w:val="0"/>
                <w:sz w:val="26"/>
                <w:szCs w:val="26"/>
              </w:rPr>
            </w:pPr>
          </w:p>
        </w:tc>
      </w:tr>
      <w:tr w:rsidR="006816EC" w:rsidRPr="00BA5EC5" w:rsidTr="006816EC">
        <w:trPr>
          <w:jc w:val="center"/>
        </w:trPr>
        <w:tc>
          <w:tcPr>
            <w:tcW w:w="3249" w:type="dxa"/>
            <w:gridSpan w:val="2"/>
          </w:tcPr>
          <w:p w:rsidR="006816EC" w:rsidRPr="00BA5EC5" w:rsidRDefault="006816EC">
            <w:pPr>
              <w:rPr>
                <w:rFonts w:ascii="Arial (W1)" w:hAnsi="Arial (W1)"/>
                <w:b/>
                <w:bCs/>
                <w:noProof w:val="0"/>
                <w:sz w:val="26"/>
                <w:szCs w:val="26"/>
                <w:rtl/>
              </w:rPr>
            </w:pPr>
          </w:p>
          <w:p w:rsidR="006816EC" w:rsidRPr="00BA5EC5" w:rsidRDefault="002B31A3" w:rsidP="00BA5EC5">
            <w:pPr>
              <w:rPr>
                <w:rFonts w:ascii="Arial (W1)" w:hAnsi="Arial (W1)"/>
                <w:b/>
                <w:bCs/>
                <w:noProof w:val="0"/>
                <w:sz w:val="26"/>
                <w:szCs w:val="26"/>
              </w:rPr>
            </w:pPr>
            <w:sdt>
              <w:sdtPr>
                <w:rPr>
                  <w:rFonts w:hint="cs"/>
                  <w:b/>
                  <w:bCs/>
                  <w:sz w:val="26"/>
                  <w:szCs w:val="26"/>
                  <w:rtl/>
                </w:rPr>
                <w:alias w:val="1184"/>
                <w:tag w:val="1184"/>
                <w:id w:val="-910234160"/>
                <w:text w:multiLine="1"/>
              </w:sdtPr>
              <w:sdtEndPr/>
              <w:sdtContent>
                <w:r w:rsidR="00BA5EC5" w:rsidRPr="00BA5EC5">
                  <w:rPr>
                    <w:rFonts w:hint="cs"/>
                    <w:b/>
                    <w:bCs/>
                    <w:noProof w:val="0"/>
                    <w:sz w:val="26"/>
                    <w:szCs w:val="26"/>
                    <w:rtl/>
                  </w:rPr>
                  <w:t>משיבה /</w:t>
                </w:r>
                <w:r w:rsidR="00BA5EC5" w:rsidRPr="00BA5EC5">
                  <w:rPr>
                    <w:b/>
                    <w:bCs/>
                    <w:noProof w:val="0"/>
                    <w:sz w:val="26"/>
                    <w:szCs w:val="26"/>
                    <w:rtl/>
                  </w:rPr>
                  <w:br/>
                </w:r>
                <w:r w:rsidR="00BA5EC5" w:rsidRPr="00BA5EC5">
                  <w:rPr>
                    <w:rFonts w:hint="cs"/>
                    <w:b/>
                    <w:bCs/>
                    <w:sz w:val="26"/>
                    <w:szCs w:val="26"/>
                    <w:rtl/>
                  </w:rPr>
                  <w:t xml:space="preserve">מערערת </w:t>
                </w:r>
                <w:r w:rsidR="00BA5EC5">
                  <w:rPr>
                    <w:rFonts w:hint="cs"/>
                    <w:b/>
                    <w:bCs/>
                    <w:sz w:val="26"/>
                    <w:szCs w:val="26"/>
                    <w:rtl/>
                  </w:rPr>
                  <w:t>בערעור משיב</w:t>
                </w:r>
              </w:sdtContent>
            </w:sdt>
          </w:p>
        </w:tc>
        <w:tc>
          <w:tcPr>
            <w:tcW w:w="5571" w:type="dxa"/>
          </w:tcPr>
          <w:p w:rsidR="006816EC" w:rsidRPr="00BA5EC5" w:rsidRDefault="006816EC">
            <w:pPr>
              <w:rPr>
                <w:rFonts w:ascii="Arial (W1)" w:hAnsi="Arial (W1)"/>
                <w:b/>
                <w:bCs/>
                <w:noProof w:val="0"/>
                <w:sz w:val="26"/>
                <w:szCs w:val="26"/>
                <w:rtl/>
              </w:rPr>
            </w:pPr>
          </w:p>
          <w:p w:rsidR="00295DD1" w:rsidRPr="00BA5EC5" w:rsidRDefault="002B31A3" w:rsidP="004451B7">
            <w:pPr>
              <w:rPr>
                <w:b/>
                <w:bCs/>
                <w:sz w:val="26"/>
                <w:szCs w:val="26"/>
                <w:rtl/>
              </w:rPr>
            </w:pPr>
            <w:sdt>
              <w:sdtPr>
                <w:rPr>
                  <w:rFonts w:hint="cs"/>
                  <w:b/>
                  <w:bCs/>
                  <w:sz w:val="26"/>
                  <w:szCs w:val="26"/>
                  <w:rtl/>
                </w:rPr>
                <w:alias w:val="1486"/>
                <w:tag w:val="1486"/>
                <w:id w:val="1487590763"/>
                <w:text w:multiLine="1"/>
              </w:sdtPr>
              <w:sdtEndPr/>
              <w:sdtContent>
                <w:r w:rsidR="004451B7">
                  <w:rPr>
                    <w:rFonts w:hint="cs"/>
                    <w:b/>
                    <w:bCs/>
                    <w:noProof w:val="0"/>
                    <w:sz w:val="26"/>
                    <w:szCs w:val="26"/>
                    <w:rtl/>
                  </w:rPr>
                  <w:t>פלונית</w:t>
                </w:r>
              </w:sdtContent>
            </w:sdt>
          </w:p>
          <w:p w:rsidR="006816EC" w:rsidRPr="00BA5EC5" w:rsidRDefault="00295DD1">
            <w:pPr>
              <w:rPr>
                <w:rFonts w:ascii="Arial (W1)" w:hAnsi="Arial (W1)"/>
                <w:b/>
                <w:bCs/>
                <w:noProof w:val="0"/>
                <w:sz w:val="26"/>
                <w:szCs w:val="26"/>
              </w:rPr>
            </w:pPr>
            <w:r w:rsidRPr="00BA5EC5">
              <w:rPr>
                <w:rFonts w:hint="cs"/>
                <w:b/>
                <w:bCs/>
                <w:sz w:val="26"/>
                <w:szCs w:val="26"/>
                <w:rtl/>
              </w:rPr>
              <w:t>ע"י ב"כ עו"ד</w:t>
            </w:r>
            <w:r w:rsidR="00BA5EC5" w:rsidRPr="00BA5EC5">
              <w:rPr>
                <w:rFonts w:ascii="Arial (W1)" w:hAnsi="Arial (W1)" w:hint="cs"/>
                <w:b/>
                <w:bCs/>
                <w:noProof w:val="0"/>
                <w:sz w:val="26"/>
                <w:szCs w:val="26"/>
                <w:rtl/>
              </w:rPr>
              <w:t xml:space="preserve"> מיכאל מדובוי</w:t>
            </w:r>
          </w:p>
        </w:tc>
      </w:tr>
    </w:tbl>
    <w:p w:rsidR="006816EC" w:rsidRPr="00BA5EC5" w:rsidRDefault="006816EC" w:rsidP="006816EC">
      <w:pPr>
        <w:suppressLineNumbers/>
        <w:rPr>
          <w:rFonts w:ascii="Arial (W1)" w:hAnsi="Arial (W1)"/>
          <w:b/>
          <w:bCs/>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Pr="00622DC6" w:rsidRDefault="00694556">
      <w:pPr>
        <w:spacing w:line="360" w:lineRule="auto"/>
        <w:jc w:val="both"/>
        <w:rPr>
          <w:rFonts w:ascii="Arial" w:hAnsi="Arial"/>
          <w:b/>
          <w:bCs/>
          <w:noProof w:val="0"/>
          <w:sz w:val="26"/>
          <w:szCs w:val="26"/>
          <w:u w:val="single"/>
          <w:rtl/>
        </w:rPr>
      </w:pPr>
    </w:p>
    <w:p w:rsidR="00622DC6" w:rsidRPr="00622DC6" w:rsidRDefault="00622DC6">
      <w:pPr>
        <w:spacing w:line="360" w:lineRule="auto"/>
        <w:jc w:val="both"/>
        <w:rPr>
          <w:rFonts w:ascii="Arial" w:hAnsi="Arial"/>
          <w:b/>
          <w:bCs/>
          <w:noProof w:val="0"/>
          <w:sz w:val="26"/>
          <w:szCs w:val="26"/>
          <w:u w:val="single"/>
          <w:rtl/>
        </w:rPr>
      </w:pPr>
      <w:r w:rsidRPr="00622DC6">
        <w:rPr>
          <w:rFonts w:ascii="Arial" w:hAnsi="Arial" w:hint="cs"/>
          <w:b/>
          <w:bCs/>
          <w:noProof w:val="0"/>
          <w:sz w:val="26"/>
          <w:szCs w:val="26"/>
          <w:u w:val="single"/>
          <w:rtl/>
        </w:rPr>
        <w:t>כללי:</w:t>
      </w:r>
    </w:p>
    <w:p w:rsidR="00694556" w:rsidRDefault="00694556">
      <w:pPr>
        <w:spacing w:line="360" w:lineRule="auto"/>
        <w:jc w:val="both"/>
        <w:rPr>
          <w:rFonts w:ascii="Arial" w:hAnsi="Arial"/>
          <w:noProof w:val="0"/>
          <w:rtl/>
        </w:rPr>
      </w:pPr>
    </w:p>
    <w:p w:rsidR="00414ABB" w:rsidRPr="00414ABB" w:rsidRDefault="00622DC6" w:rsidP="00414ABB">
      <w:pPr>
        <w:pStyle w:val="ad"/>
        <w:numPr>
          <w:ilvl w:val="0"/>
          <w:numId w:val="4"/>
        </w:numPr>
        <w:spacing w:line="360" w:lineRule="auto"/>
        <w:jc w:val="both"/>
        <w:rPr>
          <w:rFonts w:ascii="Arial" w:hAnsi="Arial"/>
          <w:noProof w:val="0"/>
          <w:rtl/>
        </w:rPr>
      </w:pPr>
      <w:r w:rsidRPr="00414ABB">
        <w:rPr>
          <w:rFonts w:ascii="Arial" w:hAnsi="Arial" w:hint="cs"/>
          <w:noProof w:val="0"/>
          <w:rtl/>
        </w:rPr>
        <w:t xml:space="preserve">לפני ערעור וערעור משיב.  </w:t>
      </w:r>
    </w:p>
    <w:p w:rsidR="00622DC6" w:rsidRPr="00414ABB" w:rsidRDefault="004A0D03" w:rsidP="00414ABB">
      <w:pPr>
        <w:spacing w:line="360" w:lineRule="auto"/>
        <w:ind w:left="720"/>
        <w:jc w:val="both"/>
        <w:rPr>
          <w:rFonts w:ascii="Arial" w:hAnsi="Arial"/>
          <w:noProof w:val="0"/>
          <w:rtl/>
        </w:rPr>
      </w:pPr>
      <w:r w:rsidRPr="00414ABB">
        <w:rPr>
          <w:rFonts w:ascii="Arial" w:hAnsi="Arial" w:hint="cs"/>
          <w:noProof w:val="0"/>
          <w:rtl/>
        </w:rPr>
        <w:t xml:space="preserve">פסק דין זה ניתן במאוחד </w:t>
      </w:r>
      <w:r w:rsidR="00606BB9" w:rsidRPr="00414ABB">
        <w:rPr>
          <w:rFonts w:ascii="Arial" w:hAnsi="Arial" w:hint="cs"/>
          <w:noProof w:val="0"/>
          <w:rtl/>
        </w:rPr>
        <w:t>בשני הערעורים על יסוד החומר בכתב</w:t>
      </w:r>
      <w:r w:rsidRPr="00414ABB">
        <w:rPr>
          <w:rFonts w:ascii="Arial" w:hAnsi="Arial" w:hint="cs"/>
          <w:noProof w:val="0"/>
          <w:rtl/>
        </w:rPr>
        <w:t xml:space="preserve"> וטיעוני הצדדים לפני בישיבת יום 27.3.2024</w:t>
      </w:r>
      <w:r w:rsidR="00606BB9" w:rsidRPr="00414ABB">
        <w:rPr>
          <w:rFonts w:ascii="Arial" w:hAnsi="Arial" w:hint="cs"/>
          <w:noProof w:val="0"/>
          <w:rtl/>
        </w:rPr>
        <w:t>.</w:t>
      </w:r>
    </w:p>
    <w:p w:rsidR="00606BB9" w:rsidRDefault="00606BB9" w:rsidP="00606BB9">
      <w:pPr>
        <w:spacing w:line="360" w:lineRule="auto"/>
        <w:ind w:left="720" w:hanging="720"/>
        <w:jc w:val="both"/>
        <w:rPr>
          <w:rFonts w:ascii="Arial" w:hAnsi="Arial"/>
          <w:noProof w:val="0"/>
          <w:rtl/>
        </w:rPr>
      </w:pPr>
    </w:p>
    <w:p w:rsidR="00606BB9" w:rsidRDefault="00606BB9" w:rsidP="00606BB9">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t>הערעורים הוגשו על פסק דינו של בית המשפט השלום בהרצליה</w:t>
      </w:r>
      <w:r w:rsidR="00417FA7">
        <w:rPr>
          <w:rFonts w:ascii="Arial" w:hAnsi="Arial" w:hint="cs"/>
          <w:noProof w:val="0"/>
          <w:rtl/>
        </w:rPr>
        <w:t>,</w:t>
      </w:r>
      <w:r>
        <w:rPr>
          <w:rFonts w:ascii="Arial" w:hAnsi="Arial" w:hint="cs"/>
          <w:noProof w:val="0"/>
          <w:rtl/>
        </w:rPr>
        <w:t xml:space="preserve"> כב' השופט דוד יצחק</w:t>
      </w:r>
      <w:r w:rsidR="00417FA7">
        <w:rPr>
          <w:rFonts w:ascii="Arial" w:hAnsi="Arial" w:hint="cs"/>
          <w:noProof w:val="0"/>
          <w:rtl/>
        </w:rPr>
        <w:t>,</w:t>
      </w:r>
      <w:r>
        <w:rPr>
          <w:rFonts w:ascii="Arial" w:hAnsi="Arial" w:hint="cs"/>
          <w:noProof w:val="0"/>
          <w:rtl/>
        </w:rPr>
        <w:t xml:space="preserve"> מיום </w:t>
      </w:r>
      <w:r w:rsidRPr="00414ABB">
        <w:rPr>
          <w:rFonts w:ascii="Arial" w:hAnsi="Arial" w:hint="cs"/>
          <w:b/>
          <w:bCs/>
          <w:noProof w:val="0"/>
          <w:rtl/>
        </w:rPr>
        <w:t>6.3.2023</w:t>
      </w:r>
      <w:r>
        <w:rPr>
          <w:rFonts w:ascii="Arial" w:hAnsi="Arial" w:hint="cs"/>
          <w:noProof w:val="0"/>
          <w:rtl/>
        </w:rPr>
        <w:t xml:space="preserve"> ב-ת"א 33798-05-21 (להלן: "</w:t>
      </w:r>
      <w:r>
        <w:rPr>
          <w:rFonts w:ascii="Arial" w:hAnsi="Arial" w:hint="cs"/>
          <w:b/>
          <w:bCs/>
          <w:noProof w:val="0"/>
          <w:rtl/>
        </w:rPr>
        <w:t>פסק הדין קמא</w:t>
      </w:r>
      <w:r>
        <w:rPr>
          <w:rFonts w:ascii="Arial" w:hAnsi="Arial" w:hint="cs"/>
          <w:noProof w:val="0"/>
          <w:rtl/>
        </w:rPr>
        <w:t>").</w:t>
      </w:r>
    </w:p>
    <w:p w:rsidR="00606BB9" w:rsidRPr="00606BB9" w:rsidRDefault="00606BB9" w:rsidP="004451B7">
      <w:pPr>
        <w:spacing w:line="360" w:lineRule="auto"/>
        <w:ind w:left="720" w:hanging="720"/>
        <w:jc w:val="both"/>
        <w:rPr>
          <w:rFonts w:ascii="Arial" w:hAnsi="Arial"/>
          <w:noProof w:val="0"/>
          <w:sz w:val="22"/>
          <w:szCs w:val="22"/>
          <w:rtl/>
        </w:rPr>
      </w:pPr>
      <w:r>
        <w:rPr>
          <w:rFonts w:ascii="Arial" w:hAnsi="Arial"/>
          <w:noProof w:val="0"/>
          <w:rtl/>
        </w:rPr>
        <w:tab/>
      </w:r>
      <w:r>
        <w:rPr>
          <w:rFonts w:ascii="Arial" w:hAnsi="Arial" w:hint="cs"/>
          <w:noProof w:val="0"/>
          <w:rtl/>
        </w:rPr>
        <w:t>המערערת</w:t>
      </w:r>
      <w:r w:rsidR="00417FA7">
        <w:rPr>
          <w:rFonts w:ascii="Arial" w:hAnsi="Arial" w:hint="cs"/>
          <w:noProof w:val="0"/>
          <w:rtl/>
        </w:rPr>
        <w:t>,</w:t>
      </w:r>
      <w:r>
        <w:rPr>
          <w:rFonts w:ascii="Arial" w:hAnsi="Arial" w:hint="cs"/>
          <w:noProof w:val="0"/>
          <w:rtl/>
        </w:rPr>
        <w:t xml:space="preserve"> עו"ד </w:t>
      </w:r>
      <w:r w:rsidR="004451B7">
        <w:rPr>
          <w:rFonts w:ascii="Arial" w:hAnsi="Arial" w:hint="cs"/>
          <w:noProof w:val="0"/>
          <w:rtl/>
        </w:rPr>
        <w:t>פלונית</w:t>
      </w:r>
      <w:r w:rsidR="00414ABB">
        <w:rPr>
          <w:rFonts w:ascii="Arial" w:hAnsi="Arial" w:hint="cs"/>
          <w:noProof w:val="0"/>
          <w:rtl/>
        </w:rPr>
        <w:t>,</w:t>
      </w:r>
      <w:r>
        <w:rPr>
          <w:rFonts w:ascii="Arial" w:hAnsi="Arial" w:hint="cs"/>
          <w:noProof w:val="0"/>
          <w:rtl/>
        </w:rPr>
        <w:t xml:space="preserve"> היא גם המשיבה בערעור המשיב (תיקרא להלן ולשם הנוחיות "</w:t>
      </w:r>
      <w:r w:rsidRPr="00606BB9">
        <w:rPr>
          <w:rFonts w:ascii="Arial" w:hAnsi="Arial" w:hint="cs"/>
          <w:b/>
          <w:bCs/>
          <w:noProof w:val="0"/>
          <w:rtl/>
        </w:rPr>
        <w:t>המערערת</w:t>
      </w:r>
      <w:r>
        <w:rPr>
          <w:rFonts w:ascii="Arial" w:hAnsi="Arial" w:hint="cs"/>
          <w:noProof w:val="0"/>
          <w:rtl/>
        </w:rPr>
        <w:t>").</w:t>
      </w:r>
    </w:p>
    <w:p w:rsidR="00606BB9" w:rsidRDefault="002B31A3" w:rsidP="004451B7">
      <w:pPr>
        <w:spacing w:line="360" w:lineRule="auto"/>
        <w:ind w:left="720"/>
        <w:jc w:val="both"/>
        <w:rPr>
          <w:rtl/>
        </w:rPr>
      </w:pPr>
      <w:sdt>
        <w:sdtPr>
          <w:rPr>
            <w:rFonts w:hint="cs"/>
            <w:rtl/>
          </w:rPr>
          <w:alias w:val="1486"/>
          <w:tag w:val="1486"/>
          <w:id w:val="-334686490"/>
          <w:text w:multiLine="1"/>
        </w:sdtPr>
        <w:sdtEndPr/>
        <w:sdtContent>
          <w:r w:rsidR="00606BB9" w:rsidRPr="00606BB9">
            <w:rPr>
              <w:rFonts w:hint="cs"/>
              <w:noProof w:val="0"/>
              <w:rtl/>
            </w:rPr>
            <w:t>המשיבה</w:t>
          </w:r>
          <w:r w:rsidR="00417FA7">
            <w:rPr>
              <w:rFonts w:hint="cs"/>
              <w:noProof w:val="0"/>
              <w:rtl/>
            </w:rPr>
            <w:t>,</w:t>
          </w:r>
          <w:r w:rsidR="00606BB9" w:rsidRPr="00606BB9">
            <w:rPr>
              <w:rFonts w:hint="cs"/>
              <w:noProof w:val="0"/>
              <w:rtl/>
            </w:rPr>
            <w:t xml:space="preserve"> </w:t>
          </w:r>
          <w:r w:rsidR="004451B7">
            <w:rPr>
              <w:rFonts w:hint="cs"/>
              <w:noProof w:val="0"/>
              <w:rtl/>
            </w:rPr>
            <w:t>פלונית</w:t>
          </w:r>
          <w:r w:rsidR="00414ABB">
            <w:rPr>
              <w:rFonts w:hint="cs"/>
              <w:rtl/>
            </w:rPr>
            <w:t>,</w:t>
          </w:r>
        </w:sdtContent>
      </w:sdt>
      <w:r w:rsidR="00606BB9">
        <w:rPr>
          <w:rFonts w:hint="cs"/>
          <w:rtl/>
        </w:rPr>
        <w:t xml:space="preserve"> היא גם המערערת בערעור המשיב (תיקרא להלן ולשלם הנוחיות: "</w:t>
      </w:r>
      <w:r w:rsidR="00606BB9">
        <w:rPr>
          <w:rFonts w:hint="cs"/>
          <w:b/>
          <w:bCs/>
          <w:rtl/>
        </w:rPr>
        <w:t>המשיבה</w:t>
      </w:r>
      <w:r w:rsidR="00606BB9">
        <w:rPr>
          <w:rFonts w:hint="cs"/>
          <w:rtl/>
        </w:rPr>
        <w:t>").</w:t>
      </w:r>
    </w:p>
    <w:p w:rsidR="00606BB9" w:rsidRPr="00606BB9" w:rsidRDefault="00606BB9" w:rsidP="00606BB9">
      <w:pPr>
        <w:spacing w:line="360" w:lineRule="auto"/>
        <w:jc w:val="both"/>
        <w:rPr>
          <w:rtl/>
        </w:rPr>
      </w:pPr>
    </w:p>
    <w:p w:rsidR="00606BB9" w:rsidRDefault="00606BB9" w:rsidP="00417FA7">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t xml:space="preserve">ההליך קמא נסב על תביעת שכ"ט של המערערת, אשר התקבלה באופן חלקי. בפסק הדין קמא חויבה המשיבה לשלם למערערת שכ"ט בשיעור 7,261 ₪. עם זאת, עיקר </w:t>
      </w:r>
      <w:r w:rsidR="00417FA7">
        <w:rPr>
          <w:rFonts w:ascii="Arial" w:hAnsi="Arial" w:hint="cs"/>
          <w:noProof w:val="0"/>
          <w:rtl/>
        </w:rPr>
        <w:t xml:space="preserve">רכיב </w:t>
      </w:r>
      <w:r>
        <w:rPr>
          <w:rFonts w:ascii="Arial" w:hAnsi="Arial" w:hint="cs"/>
          <w:noProof w:val="0"/>
          <w:rtl/>
        </w:rPr>
        <w:t>התביעה בסכום של 128,259 ₪</w:t>
      </w:r>
      <w:r w:rsidR="00417FA7">
        <w:rPr>
          <w:rFonts w:ascii="Arial" w:hAnsi="Arial" w:hint="cs"/>
          <w:noProof w:val="0"/>
          <w:rtl/>
        </w:rPr>
        <w:t>, נדחה. זהו בסיס המחלוקת הנוגע</w:t>
      </w:r>
      <w:r>
        <w:rPr>
          <w:rFonts w:ascii="Arial" w:hAnsi="Arial" w:hint="cs"/>
          <w:noProof w:val="0"/>
          <w:rtl/>
        </w:rPr>
        <w:t xml:space="preserve"> לשני הערעורים.</w:t>
      </w:r>
    </w:p>
    <w:p w:rsidR="00642712" w:rsidRPr="00BB093C" w:rsidRDefault="00642712" w:rsidP="004A0D03">
      <w:pPr>
        <w:spacing w:line="360" w:lineRule="auto"/>
        <w:jc w:val="both"/>
        <w:rPr>
          <w:rFonts w:ascii="Arial" w:hAnsi="Arial"/>
          <w:b/>
          <w:bCs/>
          <w:noProof w:val="0"/>
          <w:sz w:val="26"/>
          <w:szCs w:val="26"/>
          <w:u w:val="single"/>
          <w:rtl/>
        </w:rPr>
      </w:pPr>
    </w:p>
    <w:p w:rsidR="004A0D03" w:rsidRDefault="00BB093C" w:rsidP="00414ABB">
      <w:pPr>
        <w:spacing w:line="360" w:lineRule="auto"/>
        <w:ind w:left="720" w:hanging="720"/>
        <w:jc w:val="both"/>
        <w:rPr>
          <w:rFonts w:ascii="Arial" w:hAnsi="Arial"/>
          <w:b/>
          <w:bCs/>
          <w:noProof w:val="0"/>
          <w:sz w:val="26"/>
          <w:szCs w:val="26"/>
          <w:u w:val="single"/>
          <w:rtl/>
        </w:rPr>
      </w:pPr>
      <w:r w:rsidRPr="00BB093C">
        <w:rPr>
          <w:rFonts w:ascii="Arial" w:hAnsi="Arial" w:hint="cs"/>
          <w:b/>
          <w:bCs/>
          <w:noProof w:val="0"/>
          <w:sz w:val="26"/>
          <w:szCs w:val="26"/>
          <w:u w:val="single"/>
          <w:rtl/>
        </w:rPr>
        <w:t>פסק הדין קמא:</w:t>
      </w:r>
    </w:p>
    <w:p w:rsidR="00417FA7" w:rsidRPr="004A0D03" w:rsidRDefault="00417FA7" w:rsidP="00414ABB">
      <w:pPr>
        <w:spacing w:line="360" w:lineRule="auto"/>
        <w:ind w:left="720" w:hanging="720"/>
        <w:jc w:val="both"/>
        <w:rPr>
          <w:rFonts w:ascii="Arial" w:hAnsi="Arial"/>
          <w:b/>
          <w:bCs/>
          <w:noProof w:val="0"/>
          <w:sz w:val="26"/>
          <w:szCs w:val="26"/>
          <w:u w:val="single"/>
          <w:rtl/>
        </w:rPr>
      </w:pPr>
    </w:p>
    <w:p w:rsidR="00414ABB" w:rsidRDefault="00BB093C" w:rsidP="00414ABB">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r>
      <w:r w:rsidR="00414ABB">
        <w:rPr>
          <w:rFonts w:ascii="Arial" w:hAnsi="Arial" w:hint="cs"/>
          <w:noProof w:val="0"/>
          <w:rtl/>
        </w:rPr>
        <w:t xml:space="preserve">עובדתית עולה מפסק הדין,  כי </w:t>
      </w:r>
      <w:r>
        <w:rPr>
          <w:rFonts w:ascii="Arial" w:hAnsi="Arial" w:hint="cs"/>
          <w:noProof w:val="0"/>
          <w:rtl/>
        </w:rPr>
        <w:t>ביום 21.1.2013 התקשרה המשיבה עם המערערת</w:t>
      </w:r>
      <w:r w:rsidR="00417FA7">
        <w:rPr>
          <w:rFonts w:ascii="Arial" w:hAnsi="Arial" w:hint="cs"/>
          <w:noProof w:val="0"/>
          <w:rtl/>
        </w:rPr>
        <w:t>,</w:t>
      </w:r>
      <w:r>
        <w:rPr>
          <w:rFonts w:ascii="Arial" w:hAnsi="Arial" w:hint="cs"/>
          <w:noProof w:val="0"/>
          <w:rtl/>
        </w:rPr>
        <w:t xml:space="preserve"> עורכת דין במקצועה</w:t>
      </w:r>
      <w:r w:rsidR="00417FA7">
        <w:rPr>
          <w:rFonts w:ascii="Arial" w:hAnsi="Arial" w:hint="cs"/>
          <w:noProof w:val="0"/>
          <w:rtl/>
        </w:rPr>
        <w:t>, בהסכם שכר ט</w:t>
      </w:r>
      <w:r>
        <w:rPr>
          <w:rFonts w:ascii="Arial" w:hAnsi="Arial" w:hint="cs"/>
          <w:noProof w:val="0"/>
          <w:rtl/>
        </w:rPr>
        <w:t>רחה למתן שירותים משפטיים</w:t>
      </w:r>
      <w:r w:rsidR="00417FA7">
        <w:rPr>
          <w:rFonts w:ascii="Arial" w:hAnsi="Arial" w:hint="cs"/>
          <w:noProof w:val="0"/>
          <w:rtl/>
        </w:rPr>
        <w:t xml:space="preserve"> (להלן: </w:t>
      </w:r>
      <w:r w:rsidR="00417FA7">
        <w:rPr>
          <w:rFonts w:ascii="Arial" w:hAnsi="Arial" w:hint="cs"/>
          <w:b/>
          <w:bCs/>
          <w:noProof w:val="0"/>
          <w:rtl/>
        </w:rPr>
        <w:t>"ההסכם"</w:t>
      </w:r>
      <w:r w:rsidR="00417FA7">
        <w:rPr>
          <w:rFonts w:ascii="Arial" w:hAnsi="Arial" w:hint="cs"/>
          <w:noProof w:val="0"/>
          <w:rtl/>
        </w:rPr>
        <w:t>)</w:t>
      </w:r>
      <w:r>
        <w:rPr>
          <w:rFonts w:ascii="Arial" w:hAnsi="Arial" w:hint="cs"/>
          <w:noProof w:val="0"/>
          <w:rtl/>
        </w:rPr>
        <w:t xml:space="preserve">. </w:t>
      </w:r>
    </w:p>
    <w:p w:rsidR="00BB093C" w:rsidRDefault="00BB093C" w:rsidP="00417FA7">
      <w:pPr>
        <w:spacing w:line="360" w:lineRule="auto"/>
        <w:ind w:left="720"/>
        <w:jc w:val="both"/>
        <w:rPr>
          <w:rFonts w:ascii="Arial" w:hAnsi="Arial"/>
          <w:noProof w:val="0"/>
          <w:rtl/>
        </w:rPr>
      </w:pPr>
      <w:r>
        <w:rPr>
          <w:rFonts w:ascii="Arial" w:hAnsi="Arial" w:hint="cs"/>
          <w:noProof w:val="0"/>
          <w:rtl/>
        </w:rPr>
        <w:lastRenderedPageBreak/>
        <w:t xml:space="preserve">במסגרת </w:t>
      </w:r>
      <w:r w:rsidR="00417FA7">
        <w:rPr>
          <w:rFonts w:ascii="Arial" w:hAnsi="Arial" w:hint="cs"/>
          <w:noProof w:val="0"/>
          <w:rtl/>
        </w:rPr>
        <w:t>ההסכם</w:t>
      </w:r>
      <w:r>
        <w:rPr>
          <w:rFonts w:ascii="Arial" w:hAnsi="Arial" w:hint="cs"/>
          <w:noProof w:val="0"/>
          <w:rtl/>
        </w:rPr>
        <w:t xml:space="preserve"> נקבע, כי המערערת תטפל עבור המשיבה בשלושה עניינים הנובעים ממצבה הרפואי:</w:t>
      </w:r>
    </w:p>
    <w:p w:rsidR="00BB093C" w:rsidRDefault="00BB093C" w:rsidP="00BB093C">
      <w:pPr>
        <w:spacing w:line="360" w:lineRule="auto"/>
        <w:ind w:left="1440" w:hanging="720"/>
        <w:jc w:val="both"/>
        <w:rPr>
          <w:rFonts w:ascii="Arial" w:hAnsi="Arial"/>
          <w:noProof w:val="0"/>
          <w:rtl/>
        </w:rPr>
      </w:pPr>
      <w:r>
        <w:rPr>
          <w:rFonts w:ascii="Arial" w:hAnsi="Arial" w:hint="cs"/>
          <w:noProof w:val="0"/>
          <w:rtl/>
        </w:rPr>
        <w:t>א.</w:t>
      </w:r>
      <w:r>
        <w:rPr>
          <w:rFonts w:ascii="Arial" w:hAnsi="Arial" w:hint="cs"/>
          <w:noProof w:val="0"/>
          <w:rtl/>
        </w:rPr>
        <w:tab/>
        <w:t>טיפול בתביעות כנגד המל"ל, לרבות תביעות למימוש זכויות בגין נכות עבודה ונכה נזקק וכן נכות כללית.</w:t>
      </w:r>
    </w:p>
    <w:p w:rsidR="00BB093C" w:rsidRDefault="00BB093C" w:rsidP="00BB093C">
      <w:pPr>
        <w:spacing w:line="360" w:lineRule="auto"/>
        <w:ind w:left="1440" w:hanging="720"/>
        <w:jc w:val="both"/>
        <w:rPr>
          <w:rFonts w:ascii="Arial" w:hAnsi="Arial"/>
          <w:noProof w:val="0"/>
          <w:rtl/>
        </w:rPr>
      </w:pPr>
      <w:r>
        <w:rPr>
          <w:rFonts w:ascii="Arial" w:hAnsi="Arial" w:hint="cs"/>
          <w:noProof w:val="0"/>
          <w:rtl/>
        </w:rPr>
        <w:t>ב.</w:t>
      </w:r>
      <w:r>
        <w:rPr>
          <w:rFonts w:ascii="Arial" w:hAnsi="Arial" w:hint="cs"/>
          <w:noProof w:val="0"/>
          <w:rtl/>
        </w:rPr>
        <w:tab/>
        <w:t>טיפול בתביעות אובדן כושר עבודה כנגד חברות הביטוח הפניקס/מנורה/הראל.</w:t>
      </w:r>
    </w:p>
    <w:p w:rsidR="00BB093C" w:rsidRDefault="00BB093C" w:rsidP="00BB093C">
      <w:pPr>
        <w:spacing w:line="360" w:lineRule="auto"/>
        <w:ind w:left="1440" w:hanging="720"/>
        <w:jc w:val="both"/>
        <w:rPr>
          <w:rFonts w:ascii="Arial" w:hAnsi="Arial"/>
          <w:noProof w:val="0"/>
          <w:rtl/>
        </w:rPr>
      </w:pPr>
      <w:r>
        <w:rPr>
          <w:rFonts w:ascii="Arial" w:hAnsi="Arial" w:hint="cs"/>
          <w:noProof w:val="0"/>
          <w:rtl/>
        </w:rPr>
        <w:t>ג.</w:t>
      </w:r>
      <w:r>
        <w:rPr>
          <w:rFonts w:ascii="Arial" w:hAnsi="Arial" w:hint="cs"/>
          <w:noProof w:val="0"/>
          <w:rtl/>
        </w:rPr>
        <w:tab/>
        <w:t>תביעה כנגד המעביד</w:t>
      </w:r>
      <w:r w:rsidR="00417FA7">
        <w:rPr>
          <w:rFonts w:ascii="Arial" w:hAnsi="Arial" w:hint="cs"/>
          <w:noProof w:val="0"/>
          <w:rtl/>
        </w:rPr>
        <w:t>,</w:t>
      </w:r>
      <w:r>
        <w:rPr>
          <w:rFonts w:ascii="Arial" w:hAnsi="Arial" w:hint="cs"/>
          <w:noProof w:val="0"/>
          <w:rtl/>
        </w:rPr>
        <w:t xml:space="preserve"> דוד ומילר אחזקות מבנים בע"מ. </w:t>
      </w:r>
    </w:p>
    <w:p w:rsidR="00764AB8" w:rsidRDefault="00764AB8" w:rsidP="00764AB8">
      <w:pPr>
        <w:spacing w:line="360" w:lineRule="auto"/>
        <w:ind w:left="720"/>
        <w:jc w:val="both"/>
        <w:rPr>
          <w:rFonts w:ascii="Arial" w:hAnsi="Arial"/>
          <w:noProof w:val="0"/>
          <w:rtl/>
        </w:rPr>
      </w:pPr>
    </w:p>
    <w:p w:rsidR="00414ABB" w:rsidRDefault="00764AB8" w:rsidP="00414ABB">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t xml:space="preserve">ביום 12.1.2017 </w:t>
      </w:r>
      <w:r w:rsidR="00414ABB">
        <w:rPr>
          <w:rFonts w:ascii="Arial" w:hAnsi="Arial" w:hint="cs"/>
          <w:noProof w:val="0"/>
          <w:rtl/>
        </w:rPr>
        <w:t xml:space="preserve">נכרתה </w:t>
      </w:r>
      <w:r>
        <w:rPr>
          <w:rFonts w:ascii="Arial" w:hAnsi="Arial" w:hint="cs"/>
          <w:noProof w:val="0"/>
          <w:rtl/>
        </w:rPr>
        <w:t>התקשרות נוספת בין הצדדים</w:t>
      </w:r>
      <w:r w:rsidR="00414ABB">
        <w:rPr>
          <w:rFonts w:ascii="Arial" w:hAnsi="Arial" w:hint="cs"/>
          <w:noProof w:val="0"/>
          <w:rtl/>
        </w:rPr>
        <w:t>.</w:t>
      </w:r>
      <w:r>
        <w:rPr>
          <w:rFonts w:ascii="Arial" w:hAnsi="Arial" w:hint="cs"/>
          <w:noProof w:val="0"/>
          <w:rtl/>
        </w:rPr>
        <w:t xml:space="preserve"> </w:t>
      </w:r>
    </w:p>
    <w:p w:rsidR="00764AB8" w:rsidRDefault="00764AB8" w:rsidP="00414ABB">
      <w:pPr>
        <w:spacing w:line="360" w:lineRule="auto"/>
        <w:ind w:left="720"/>
        <w:jc w:val="both"/>
        <w:rPr>
          <w:rFonts w:ascii="Arial" w:hAnsi="Arial"/>
          <w:noProof w:val="0"/>
          <w:rtl/>
        </w:rPr>
      </w:pPr>
      <w:r>
        <w:rPr>
          <w:rFonts w:ascii="Arial" w:hAnsi="Arial" w:hint="cs"/>
          <w:noProof w:val="0"/>
          <w:rtl/>
        </w:rPr>
        <w:t>במסגרתה הוסכם כי המערערת תטפל עבור המשיבה בשני עניינים נוספים:</w:t>
      </w:r>
    </w:p>
    <w:p w:rsidR="00764AB8" w:rsidRDefault="00764AB8" w:rsidP="00764AB8">
      <w:pPr>
        <w:spacing w:line="360" w:lineRule="auto"/>
        <w:ind w:left="720"/>
        <w:jc w:val="both"/>
        <w:rPr>
          <w:rFonts w:ascii="Arial" w:hAnsi="Arial"/>
          <w:noProof w:val="0"/>
          <w:rtl/>
        </w:rPr>
      </w:pPr>
    </w:p>
    <w:p w:rsidR="00764AB8" w:rsidRDefault="00764AB8" w:rsidP="00764AB8">
      <w:pPr>
        <w:spacing w:line="360" w:lineRule="auto"/>
        <w:ind w:left="720"/>
        <w:jc w:val="both"/>
        <w:rPr>
          <w:rFonts w:ascii="Arial" w:hAnsi="Arial"/>
          <w:noProof w:val="0"/>
          <w:rtl/>
        </w:rPr>
      </w:pPr>
      <w:r>
        <w:rPr>
          <w:rFonts w:ascii="Arial" w:hAnsi="Arial" w:hint="cs"/>
          <w:noProof w:val="0"/>
          <w:rtl/>
        </w:rPr>
        <w:t>א.</w:t>
      </w:r>
      <w:r>
        <w:rPr>
          <w:rFonts w:ascii="Arial" w:hAnsi="Arial" w:hint="cs"/>
          <w:noProof w:val="0"/>
          <w:rtl/>
        </w:rPr>
        <w:tab/>
      </w:r>
      <w:r w:rsidRPr="00764AB8">
        <w:rPr>
          <w:rFonts w:ascii="Arial" w:hAnsi="Arial" w:hint="cs"/>
          <w:noProof w:val="0"/>
          <w:rtl/>
        </w:rPr>
        <w:t>תביעת</w:t>
      </w:r>
      <w:r>
        <w:rPr>
          <w:rFonts w:ascii="Arial" w:hAnsi="Arial" w:hint="cs"/>
          <w:noProof w:val="0"/>
          <w:rtl/>
        </w:rPr>
        <w:t xml:space="preserve"> </w:t>
      </w:r>
      <w:r w:rsidRPr="00764AB8">
        <w:rPr>
          <w:rFonts w:ascii="Arial" w:hAnsi="Arial" w:hint="cs"/>
          <w:noProof w:val="0"/>
          <w:rtl/>
        </w:rPr>
        <w:t>אובדן כושר עבודה כנגד כל הפוליסות בחברת הביטוח מנורה.</w:t>
      </w:r>
    </w:p>
    <w:p w:rsidR="00764AB8" w:rsidRDefault="00764AB8" w:rsidP="00764AB8">
      <w:pPr>
        <w:spacing w:line="360" w:lineRule="auto"/>
        <w:ind w:left="720"/>
        <w:jc w:val="both"/>
        <w:rPr>
          <w:rFonts w:ascii="Arial" w:hAnsi="Arial"/>
          <w:noProof w:val="0"/>
          <w:rtl/>
        </w:rPr>
      </w:pPr>
      <w:r>
        <w:rPr>
          <w:rFonts w:ascii="Arial" w:hAnsi="Arial" w:hint="cs"/>
          <w:noProof w:val="0"/>
          <w:rtl/>
        </w:rPr>
        <w:t>ב.</w:t>
      </w:r>
      <w:r>
        <w:rPr>
          <w:rFonts w:ascii="Arial" w:hAnsi="Arial" w:hint="cs"/>
          <w:noProof w:val="0"/>
          <w:rtl/>
        </w:rPr>
        <w:tab/>
        <w:t xml:space="preserve">תביעה כנגד המעביד או חברת הביטוח שלו. </w:t>
      </w:r>
    </w:p>
    <w:p w:rsidR="00764AB8" w:rsidRDefault="00764AB8" w:rsidP="00764AB8">
      <w:pPr>
        <w:spacing w:line="360" w:lineRule="auto"/>
        <w:ind w:left="720"/>
        <w:jc w:val="both"/>
        <w:rPr>
          <w:rFonts w:ascii="Arial" w:hAnsi="Arial"/>
          <w:noProof w:val="0"/>
          <w:rtl/>
        </w:rPr>
      </w:pPr>
    </w:p>
    <w:p w:rsidR="00414ABB" w:rsidRDefault="00764AB8" w:rsidP="00764AB8">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t>על יסוד ההסכמים האמורים</w:t>
      </w:r>
      <w:r w:rsidR="00414ABB">
        <w:rPr>
          <w:rFonts w:ascii="Arial" w:hAnsi="Arial" w:hint="cs"/>
          <w:noProof w:val="0"/>
          <w:rtl/>
        </w:rPr>
        <w:t>,</w:t>
      </w:r>
      <w:r>
        <w:rPr>
          <w:rFonts w:ascii="Arial" w:hAnsi="Arial" w:hint="cs"/>
          <w:noProof w:val="0"/>
          <w:rtl/>
        </w:rPr>
        <w:t xml:space="preserve"> העניקה המערערת שירות מקצועי למשיבה, ואף קיבלה שכר טירחה מעת לעת. </w:t>
      </w:r>
    </w:p>
    <w:p w:rsidR="00764AB8" w:rsidRDefault="00764AB8" w:rsidP="00414ABB">
      <w:pPr>
        <w:spacing w:line="360" w:lineRule="auto"/>
        <w:ind w:left="720"/>
        <w:jc w:val="both"/>
        <w:rPr>
          <w:rFonts w:ascii="Arial" w:hAnsi="Arial"/>
          <w:noProof w:val="0"/>
          <w:rtl/>
        </w:rPr>
      </w:pPr>
      <w:r>
        <w:rPr>
          <w:rFonts w:ascii="Arial" w:hAnsi="Arial" w:hint="cs"/>
          <w:noProof w:val="0"/>
          <w:rtl/>
        </w:rPr>
        <w:t>ביום 1.8</w:t>
      </w:r>
      <w:r w:rsidR="00523440">
        <w:rPr>
          <w:rFonts w:ascii="Arial" w:hAnsi="Arial" w:hint="cs"/>
          <w:noProof w:val="0"/>
          <w:rtl/>
        </w:rPr>
        <w:t>.2019 קיבלה המערערת מכתב מעו"ד רויטל נבות-גלוסקה</w:t>
      </w:r>
      <w:r w:rsidR="00417FA7">
        <w:rPr>
          <w:rFonts w:ascii="Arial" w:hAnsi="Arial" w:hint="cs"/>
          <w:noProof w:val="0"/>
          <w:rtl/>
        </w:rPr>
        <w:t>,</w:t>
      </w:r>
      <w:r w:rsidR="00523440">
        <w:rPr>
          <w:rFonts w:ascii="Arial" w:hAnsi="Arial" w:hint="cs"/>
          <w:noProof w:val="0"/>
          <w:rtl/>
        </w:rPr>
        <w:t xml:space="preserve"> אשר הודיעה לה כי הטיפול </w:t>
      </w:r>
      <w:r w:rsidR="00417FA7">
        <w:rPr>
          <w:rFonts w:ascii="Arial" w:hAnsi="Arial" w:hint="cs"/>
          <w:noProof w:val="0"/>
          <w:rtl/>
        </w:rPr>
        <w:t xml:space="preserve">המשפטי </w:t>
      </w:r>
      <w:r w:rsidR="00523440">
        <w:rPr>
          <w:rFonts w:ascii="Arial" w:hAnsi="Arial" w:hint="cs"/>
          <w:noProof w:val="0"/>
          <w:rtl/>
        </w:rPr>
        <w:t xml:space="preserve">במשיבה עבר לידיה ומיני אז חדלה המערערת מייצוג. </w:t>
      </w:r>
    </w:p>
    <w:p w:rsidR="00523440" w:rsidRDefault="00523440" w:rsidP="00764AB8">
      <w:pPr>
        <w:spacing w:line="360" w:lineRule="auto"/>
        <w:ind w:left="720" w:hanging="720"/>
        <w:jc w:val="both"/>
        <w:rPr>
          <w:rFonts w:ascii="Arial" w:hAnsi="Arial"/>
          <w:noProof w:val="0"/>
          <w:rtl/>
        </w:rPr>
      </w:pPr>
    </w:p>
    <w:p w:rsidR="00523440" w:rsidRDefault="00523440" w:rsidP="00764AB8">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r>
      <w:r w:rsidR="00B65B0F">
        <w:rPr>
          <w:rFonts w:ascii="Arial" w:hAnsi="Arial" w:hint="cs"/>
          <w:noProof w:val="0"/>
          <w:rtl/>
        </w:rPr>
        <w:t>המערערת טענה, כי המשיבה נותרה חייבת לה שכר טירחה עבור השירות המקצועי שהוענק לה ביחס למכלו</w:t>
      </w:r>
      <w:r w:rsidR="00414ABB">
        <w:rPr>
          <w:rFonts w:ascii="Arial" w:hAnsi="Arial" w:hint="cs"/>
          <w:noProof w:val="0"/>
          <w:rtl/>
        </w:rPr>
        <w:t>ל השירותים שהעניקה לה וההליכים בהם פעלה</w:t>
      </w:r>
      <w:r w:rsidR="006C3A92">
        <w:rPr>
          <w:rFonts w:ascii="Arial" w:hAnsi="Arial" w:hint="cs"/>
          <w:noProof w:val="0"/>
          <w:rtl/>
        </w:rPr>
        <w:t xml:space="preserve"> עבורה. </w:t>
      </w:r>
      <w:r w:rsidR="00B65B0F">
        <w:rPr>
          <w:rFonts w:ascii="Arial" w:hAnsi="Arial" w:hint="cs"/>
          <w:noProof w:val="0"/>
          <w:rtl/>
        </w:rPr>
        <w:t>המשיבה מצדה טענה, כי שילמה למערערת את כל המגיע לה ואפילו ביתר</w:t>
      </w:r>
      <w:r w:rsidR="00414ABB">
        <w:rPr>
          <w:rFonts w:ascii="Arial" w:hAnsi="Arial" w:hint="cs"/>
          <w:noProof w:val="0"/>
          <w:rtl/>
        </w:rPr>
        <w:t>,</w:t>
      </w:r>
      <w:r w:rsidR="00B65B0F">
        <w:rPr>
          <w:rFonts w:ascii="Arial" w:hAnsi="Arial" w:hint="cs"/>
          <w:noProof w:val="0"/>
          <w:rtl/>
        </w:rPr>
        <w:t xml:space="preserve"> בסכום של 29,078 ₪ אשר מתוכם דרשה השבה בסכום של 20,000 ₪ וכן 7,500 ₪ בגין הנזק שנגרם לה. </w:t>
      </w:r>
    </w:p>
    <w:p w:rsidR="00B65B0F" w:rsidRDefault="00B65B0F" w:rsidP="00764AB8">
      <w:pPr>
        <w:spacing w:line="360" w:lineRule="auto"/>
        <w:ind w:left="720" w:hanging="720"/>
        <w:jc w:val="both"/>
        <w:rPr>
          <w:rFonts w:ascii="Arial" w:hAnsi="Arial"/>
          <w:noProof w:val="0"/>
          <w:rtl/>
        </w:rPr>
      </w:pPr>
    </w:p>
    <w:p w:rsidR="00B65B0F" w:rsidRPr="00764AB8" w:rsidRDefault="00B65B0F" w:rsidP="00764AB8">
      <w:pPr>
        <w:spacing w:line="360" w:lineRule="auto"/>
        <w:ind w:left="720" w:hanging="720"/>
        <w:jc w:val="both"/>
        <w:rPr>
          <w:rFonts w:ascii="Arial" w:hAnsi="Arial"/>
          <w:noProof w:val="0"/>
        </w:rPr>
      </w:pPr>
      <w:r>
        <w:rPr>
          <w:rFonts w:ascii="Arial" w:hAnsi="Arial" w:hint="cs"/>
          <w:noProof w:val="0"/>
          <w:rtl/>
        </w:rPr>
        <w:t>8.</w:t>
      </w:r>
      <w:r>
        <w:rPr>
          <w:rFonts w:ascii="Arial" w:hAnsi="Arial" w:hint="cs"/>
          <w:noProof w:val="0"/>
          <w:rtl/>
        </w:rPr>
        <w:tab/>
        <w:t>בית המשפט קמא ציין, כי מלאכת ההכרעה במחלוקת בין הצדדים "</w:t>
      </w:r>
      <w:r w:rsidRPr="00B65B0F">
        <w:rPr>
          <w:rFonts w:ascii="Arial" w:hAnsi="Arial" w:hint="cs"/>
          <w:b/>
          <w:bCs/>
          <w:noProof w:val="0"/>
          <w:rtl/>
        </w:rPr>
        <w:t>נעוצה בניסיון להתחקות אחר ההסכמות אליהן הגיעו הצדדים באשר לשכר הטירחה....</w:t>
      </w:r>
      <w:r>
        <w:rPr>
          <w:rFonts w:ascii="Arial" w:hAnsi="Arial" w:hint="cs"/>
          <w:noProof w:val="0"/>
          <w:rtl/>
        </w:rPr>
        <w:t>"</w:t>
      </w:r>
    </w:p>
    <w:p w:rsidR="00764AB8" w:rsidRDefault="00764AB8">
      <w:pPr>
        <w:spacing w:line="360" w:lineRule="auto"/>
        <w:jc w:val="both"/>
        <w:rPr>
          <w:rFonts w:ascii="Arial" w:hAnsi="Arial"/>
          <w:noProof w:val="0"/>
          <w:rtl/>
        </w:rPr>
      </w:pPr>
    </w:p>
    <w:p w:rsidR="00E7358A" w:rsidRDefault="00871E0B" w:rsidP="006C3A92">
      <w:pPr>
        <w:spacing w:line="360" w:lineRule="auto"/>
        <w:ind w:left="720" w:hanging="720"/>
        <w:jc w:val="both"/>
        <w:rPr>
          <w:rFonts w:ascii="Arial" w:hAnsi="Arial"/>
          <w:noProof w:val="0"/>
          <w:rtl/>
        </w:rPr>
      </w:pPr>
      <w:r>
        <w:rPr>
          <w:rFonts w:ascii="Arial" w:hAnsi="Arial" w:hint="cs"/>
          <w:noProof w:val="0"/>
          <w:rtl/>
        </w:rPr>
        <w:t>9.</w:t>
      </w:r>
      <w:r>
        <w:rPr>
          <w:rFonts w:ascii="Arial" w:hAnsi="Arial" w:hint="cs"/>
          <w:noProof w:val="0"/>
          <w:rtl/>
        </w:rPr>
        <w:tab/>
        <w:t>לאחר שבית המשפט קמא ניתח את טענות הצדדים והראיות שהונחו לפניו</w:t>
      </w:r>
      <w:r w:rsidR="00E7358A">
        <w:rPr>
          <w:rFonts w:ascii="Arial" w:hAnsi="Arial" w:hint="cs"/>
          <w:noProof w:val="0"/>
          <w:rtl/>
        </w:rPr>
        <w:t>, מצא</w:t>
      </w:r>
      <w:r>
        <w:rPr>
          <w:rFonts w:ascii="Arial" w:hAnsi="Arial" w:hint="cs"/>
          <w:noProof w:val="0"/>
          <w:rtl/>
        </w:rPr>
        <w:t xml:space="preserve"> כי המערערת לא עמדה בנטל </w:t>
      </w:r>
      <w:r w:rsidR="00414ABB">
        <w:rPr>
          <w:rFonts w:ascii="Arial" w:hAnsi="Arial" w:hint="cs"/>
          <w:noProof w:val="0"/>
          <w:rtl/>
        </w:rPr>
        <w:t>להוכיח טענ</w:t>
      </w:r>
      <w:r w:rsidR="006C3A92">
        <w:rPr>
          <w:rFonts w:ascii="Arial" w:hAnsi="Arial" w:hint="cs"/>
          <w:noProof w:val="0"/>
          <w:rtl/>
        </w:rPr>
        <w:t>ת</w:t>
      </w:r>
      <w:r w:rsidR="00414ABB">
        <w:rPr>
          <w:rFonts w:ascii="Arial" w:hAnsi="Arial" w:hint="cs"/>
          <w:noProof w:val="0"/>
          <w:rtl/>
        </w:rPr>
        <w:t xml:space="preserve">ה, </w:t>
      </w:r>
      <w:r>
        <w:rPr>
          <w:rFonts w:ascii="Arial" w:hAnsi="Arial" w:hint="cs"/>
          <w:noProof w:val="0"/>
          <w:rtl/>
        </w:rPr>
        <w:t>כי מעבר לשני ההסכמים שנחתמו בשנים 2013 ו- 2017</w:t>
      </w:r>
      <w:r w:rsidR="00E7358A">
        <w:rPr>
          <w:rFonts w:ascii="Arial" w:hAnsi="Arial" w:hint="cs"/>
          <w:noProof w:val="0"/>
          <w:rtl/>
        </w:rPr>
        <w:t>,</w:t>
      </w:r>
      <w:r w:rsidR="00E7358A" w:rsidRPr="00E7358A">
        <w:rPr>
          <w:rFonts w:ascii="Arial" w:hAnsi="Arial" w:hint="cs"/>
          <w:noProof w:val="0"/>
          <w:rtl/>
        </w:rPr>
        <w:t xml:space="preserve"> </w:t>
      </w:r>
      <w:r w:rsidR="00E7358A">
        <w:rPr>
          <w:rFonts w:ascii="Arial" w:hAnsi="Arial" w:hint="cs"/>
          <w:noProof w:val="0"/>
          <w:rtl/>
        </w:rPr>
        <w:t xml:space="preserve">נכרת </w:t>
      </w:r>
      <w:r w:rsidR="006C3A92">
        <w:rPr>
          <w:rFonts w:ascii="Arial" w:hAnsi="Arial" w:hint="cs"/>
          <w:noProof w:val="0"/>
          <w:rtl/>
        </w:rPr>
        <w:t xml:space="preserve">בינה לבין המשיבה גם הסכם בעל פה </w:t>
      </w:r>
      <w:r>
        <w:rPr>
          <w:rFonts w:ascii="Arial" w:hAnsi="Arial" w:hint="cs"/>
          <w:noProof w:val="0"/>
          <w:rtl/>
        </w:rPr>
        <w:t>לפיו היא תהיה זכאית לשכר טירחה בשיעור של 18% בצרוף מע"מ עבור קצבאות שהמשיבה מקבלת בקשר עם ביטוח אובדן כושר עבודה מחברת הפניקס ו/או בקשה לקצבת נכות כללית מהמל"ל מעבר ל- 36 חו</w:t>
      </w:r>
      <w:r w:rsidR="006C3A92">
        <w:rPr>
          <w:rFonts w:ascii="Arial" w:hAnsi="Arial" w:hint="cs"/>
          <w:noProof w:val="0"/>
          <w:rtl/>
        </w:rPr>
        <w:t>דשי קצבה ראשונים</w:t>
      </w:r>
      <w:r>
        <w:rPr>
          <w:rFonts w:ascii="Arial" w:hAnsi="Arial" w:hint="cs"/>
          <w:noProof w:val="0"/>
          <w:rtl/>
        </w:rPr>
        <w:t xml:space="preserve">. </w:t>
      </w:r>
      <w:r w:rsidR="00975B44">
        <w:rPr>
          <w:rFonts w:ascii="Arial" w:hAnsi="Arial" w:hint="cs"/>
          <w:noProof w:val="0"/>
          <w:rtl/>
        </w:rPr>
        <w:t xml:space="preserve"> </w:t>
      </w:r>
    </w:p>
    <w:p w:rsidR="00B65B0F" w:rsidRDefault="00975B44" w:rsidP="00E7358A">
      <w:pPr>
        <w:spacing w:line="360" w:lineRule="auto"/>
        <w:ind w:left="720"/>
        <w:jc w:val="both"/>
        <w:rPr>
          <w:rFonts w:ascii="Arial" w:hAnsi="Arial"/>
          <w:noProof w:val="0"/>
          <w:rtl/>
        </w:rPr>
      </w:pPr>
      <w:r>
        <w:rPr>
          <w:rFonts w:ascii="Arial" w:hAnsi="Arial" w:hint="cs"/>
          <w:noProof w:val="0"/>
          <w:rtl/>
        </w:rPr>
        <w:lastRenderedPageBreak/>
        <w:t>בית המשפט קמא מצא</w:t>
      </w:r>
      <w:r w:rsidR="00E7358A">
        <w:rPr>
          <w:rFonts w:ascii="Arial" w:hAnsi="Arial" w:hint="cs"/>
          <w:noProof w:val="0"/>
          <w:rtl/>
        </w:rPr>
        <w:t>,</w:t>
      </w:r>
      <w:r>
        <w:rPr>
          <w:rFonts w:ascii="Arial" w:hAnsi="Arial" w:hint="cs"/>
          <w:noProof w:val="0"/>
          <w:rtl/>
        </w:rPr>
        <w:t xml:space="preserve"> כי העובדה שטענותיה של</w:t>
      </w:r>
      <w:r w:rsidR="006C3A92">
        <w:rPr>
          <w:rFonts w:ascii="Arial" w:hAnsi="Arial" w:hint="cs"/>
          <w:noProof w:val="0"/>
          <w:rtl/>
        </w:rPr>
        <w:t xml:space="preserve"> המערערת בדבר טיפול נוסף ושכר ט</w:t>
      </w:r>
      <w:r>
        <w:rPr>
          <w:rFonts w:ascii="Arial" w:hAnsi="Arial" w:hint="cs"/>
          <w:noProof w:val="0"/>
          <w:rtl/>
        </w:rPr>
        <w:t>רחה נוסף לא עוגנו בהסכם ראוי בכתב</w:t>
      </w:r>
      <w:r w:rsidR="006C3A92">
        <w:rPr>
          <w:rFonts w:ascii="Arial" w:hAnsi="Arial" w:hint="cs"/>
          <w:noProof w:val="0"/>
          <w:rtl/>
        </w:rPr>
        <w:t>,</w:t>
      </w:r>
      <w:r>
        <w:rPr>
          <w:rFonts w:ascii="Arial" w:hAnsi="Arial" w:hint="cs"/>
          <w:noProof w:val="0"/>
          <w:rtl/>
        </w:rPr>
        <w:t xml:space="preserve"> שוללת את טענותיה לקיומו של מפג</w:t>
      </w:r>
      <w:r w:rsidR="006C3A92">
        <w:rPr>
          <w:rFonts w:ascii="Arial" w:hAnsi="Arial" w:hint="cs"/>
          <w:noProof w:val="0"/>
          <w:rtl/>
        </w:rPr>
        <w:t>ש רצונות והתחייבות לתשלום שכר ט</w:t>
      </w:r>
      <w:r>
        <w:rPr>
          <w:rFonts w:ascii="Arial" w:hAnsi="Arial" w:hint="cs"/>
          <w:noProof w:val="0"/>
          <w:rtl/>
        </w:rPr>
        <w:t xml:space="preserve">רחה. למסקנתו זו </w:t>
      </w:r>
      <w:r w:rsidR="00E7358A">
        <w:rPr>
          <w:rFonts w:ascii="Arial" w:hAnsi="Arial" w:hint="cs"/>
          <w:noProof w:val="0"/>
          <w:rtl/>
        </w:rPr>
        <w:t>ראה חיזוק</w:t>
      </w:r>
      <w:r>
        <w:rPr>
          <w:rFonts w:ascii="Arial" w:hAnsi="Arial" w:hint="cs"/>
          <w:noProof w:val="0"/>
          <w:rtl/>
        </w:rPr>
        <w:t xml:space="preserve"> בכך</w:t>
      </w:r>
      <w:r w:rsidR="00E7358A">
        <w:rPr>
          <w:rFonts w:ascii="Arial" w:hAnsi="Arial" w:hint="cs"/>
          <w:noProof w:val="0"/>
          <w:rtl/>
        </w:rPr>
        <w:t>,</w:t>
      </w:r>
      <w:r>
        <w:rPr>
          <w:rFonts w:ascii="Arial" w:hAnsi="Arial" w:hint="cs"/>
          <w:noProof w:val="0"/>
          <w:rtl/>
        </w:rPr>
        <w:t xml:space="preserve"> שהמערערת ראתה לנכון בשנת 2017 לכרות עם המשיבה </w:t>
      </w:r>
      <w:r w:rsidR="006C3A92">
        <w:rPr>
          <w:rFonts w:ascii="Arial" w:hAnsi="Arial" w:hint="cs"/>
          <w:noProof w:val="0"/>
          <w:rtl/>
        </w:rPr>
        <w:t>הסכם שכר ט</w:t>
      </w:r>
      <w:r>
        <w:rPr>
          <w:rFonts w:ascii="Arial" w:hAnsi="Arial" w:hint="cs"/>
          <w:noProof w:val="0"/>
          <w:rtl/>
        </w:rPr>
        <w:t>רחה נוסף פרט להסכם בשנת 2013. כלומר, כאשר היה מקום לעיגון זכאותה של המערערת בהסכם כתוב היא ראתה לנכון לעשות זאת. העובדה שהסכומים הנוספים להם היא טוענת לא עוגנו בכתב, מלמדת</w:t>
      </w:r>
      <w:r w:rsidR="006C3A92">
        <w:rPr>
          <w:rFonts w:ascii="Arial" w:hAnsi="Arial" w:hint="cs"/>
          <w:noProof w:val="0"/>
          <w:rtl/>
        </w:rPr>
        <w:t xml:space="preserve"> לקביעתו</w:t>
      </w:r>
      <w:r>
        <w:rPr>
          <w:rFonts w:ascii="Arial" w:hAnsi="Arial" w:hint="cs"/>
          <w:noProof w:val="0"/>
          <w:rtl/>
        </w:rPr>
        <w:t xml:space="preserve"> על קיומו של</w:t>
      </w:r>
      <w:r w:rsidR="006C3A92">
        <w:rPr>
          <w:rFonts w:ascii="Arial" w:hAnsi="Arial" w:hint="cs"/>
          <w:noProof w:val="0"/>
          <w:rtl/>
        </w:rPr>
        <w:t xml:space="preserve"> "הסדר שלילי" ביחס לזכאות שכר ט</w:t>
      </w:r>
      <w:r>
        <w:rPr>
          <w:rFonts w:ascii="Arial" w:hAnsi="Arial" w:hint="cs"/>
          <w:noProof w:val="0"/>
          <w:rtl/>
        </w:rPr>
        <w:t xml:space="preserve">רחה נוסף (סעיפים 38 </w:t>
      </w:r>
      <w:r>
        <w:rPr>
          <w:rFonts w:ascii="Arial" w:hAnsi="Arial"/>
          <w:noProof w:val="0"/>
          <w:rtl/>
        </w:rPr>
        <w:t>–</w:t>
      </w:r>
      <w:r>
        <w:rPr>
          <w:rFonts w:ascii="Arial" w:hAnsi="Arial" w:hint="cs"/>
          <w:noProof w:val="0"/>
          <w:rtl/>
        </w:rPr>
        <w:t xml:space="preserve"> 29 לפסק הדין קמא).</w:t>
      </w:r>
    </w:p>
    <w:p w:rsidR="00975B44" w:rsidRDefault="00975B44" w:rsidP="00975B44">
      <w:pPr>
        <w:spacing w:line="360" w:lineRule="auto"/>
        <w:ind w:left="720" w:hanging="720"/>
        <w:jc w:val="both"/>
        <w:rPr>
          <w:rFonts w:ascii="Arial" w:hAnsi="Arial"/>
          <w:noProof w:val="0"/>
          <w:rtl/>
        </w:rPr>
      </w:pPr>
    </w:p>
    <w:p w:rsidR="00764AB8" w:rsidRDefault="00110D0F" w:rsidP="00110D0F">
      <w:pPr>
        <w:spacing w:line="360" w:lineRule="auto"/>
        <w:ind w:left="720" w:hanging="720"/>
        <w:jc w:val="both"/>
        <w:rPr>
          <w:rFonts w:ascii="Arial" w:hAnsi="Arial"/>
          <w:noProof w:val="0"/>
          <w:rtl/>
        </w:rPr>
      </w:pPr>
      <w:r>
        <w:rPr>
          <w:rFonts w:ascii="Arial" w:hAnsi="Arial" w:hint="cs"/>
          <w:noProof w:val="0"/>
          <w:rtl/>
        </w:rPr>
        <w:t>10.</w:t>
      </w:r>
      <w:r>
        <w:rPr>
          <w:rFonts w:ascii="Arial" w:hAnsi="Arial" w:hint="cs"/>
          <w:noProof w:val="0"/>
          <w:rtl/>
        </w:rPr>
        <w:tab/>
        <w:t xml:space="preserve">בית המשפט קמא הוסיף, כי תיקון 161 לחוק הביטוח </w:t>
      </w:r>
      <w:r w:rsidR="006C3A92">
        <w:rPr>
          <w:rFonts w:ascii="Arial" w:hAnsi="Arial" w:hint="cs"/>
          <w:noProof w:val="0"/>
          <w:rtl/>
        </w:rPr>
        <w:t>ה</w:t>
      </w:r>
      <w:r>
        <w:rPr>
          <w:rFonts w:ascii="Arial" w:hAnsi="Arial" w:hint="cs"/>
          <w:noProof w:val="0"/>
          <w:rtl/>
        </w:rPr>
        <w:t>לאומי</w:t>
      </w:r>
      <w:r w:rsidR="006C3A92">
        <w:rPr>
          <w:rFonts w:ascii="Arial" w:hAnsi="Arial" w:hint="cs"/>
          <w:noProof w:val="0"/>
          <w:rtl/>
        </w:rPr>
        <w:t xml:space="preserve"> [נוסח משולב], תשנ"ה-1965 </w:t>
      </w:r>
      <w:r w:rsidR="006A1893">
        <w:rPr>
          <w:rFonts w:ascii="Arial" w:hAnsi="Arial" w:hint="cs"/>
          <w:noProof w:val="0"/>
          <w:rtl/>
        </w:rPr>
        <w:t xml:space="preserve">(להלן: </w:t>
      </w:r>
      <w:r w:rsidR="006A1893">
        <w:rPr>
          <w:rFonts w:ascii="Arial" w:hAnsi="Arial" w:hint="cs"/>
          <w:b/>
          <w:bCs/>
          <w:noProof w:val="0"/>
          <w:rtl/>
        </w:rPr>
        <w:t>"החוק"</w:t>
      </w:r>
      <w:r w:rsidR="006A1893">
        <w:rPr>
          <w:rFonts w:ascii="Arial" w:hAnsi="Arial" w:hint="cs"/>
          <w:noProof w:val="0"/>
          <w:rtl/>
        </w:rPr>
        <w:t xml:space="preserve">) </w:t>
      </w:r>
      <w:r w:rsidR="006C3A92">
        <w:rPr>
          <w:rFonts w:ascii="Arial" w:hAnsi="Arial" w:hint="cs"/>
          <w:noProof w:val="0"/>
          <w:rtl/>
        </w:rPr>
        <w:t>המתיר גביית שכר ט</w:t>
      </w:r>
      <w:r>
        <w:rPr>
          <w:rFonts w:ascii="Arial" w:hAnsi="Arial" w:hint="cs"/>
          <w:noProof w:val="0"/>
          <w:rtl/>
        </w:rPr>
        <w:t>רחה לתקופה של 60 חודשים אינו מוביל למסקנה אוטומ</w:t>
      </w:r>
      <w:r w:rsidR="006C3A92">
        <w:rPr>
          <w:rFonts w:ascii="Arial" w:hAnsi="Arial" w:hint="cs"/>
          <w:noProof w:val="0"/>
          <w:rtl/>
        </w:rPr>
        <w:t>טית כי כל הסכם משמעו קבלת שכר ט</w:t>
      </w:r>
      <w:r>
        <w:rPr>
          <w:rFonts w:ascii="Arial" w:hAnsi="Arial" w:hint="cs"/>
          <w:noProof w:val="0"/>
          <w:rtl/>
        </w:rPr>
        <w:t>רחה לתקופה האמורה. התיקון לחוק קובע מגבלה חוקית</w:t>
      </w:r>
      <w:r w:rsidR="006A1893">
        <w:rPr>
          <w:rFonts w:ascii="Arial" w:hAnsi="Arial" w:hint="cs"/>
          <w:noProof w:val="0"/>
          <w:rtl/>
        </w:rPr>
        <w:t>,</w:t>
      </w:r>
      <w:r>
        <w:rPr>
          <w:rFonts w:ascii="Arial" w:hAnsi="Arial" w:hint="cs"/>
          <w:noProof w:val="0"/>
          <w:rtl/>
        </w:rPr>
        <w:t xml:space="preserve"> אך את פרטי ההסכמה על הצדדים לעגן במסגרת הסכם נפרד שנעשה ביניהם ובענייננו לא נעשה כדבר הזה. </w:t>
      </w:r>
      <w:r w:rsidR="00DA47D9">
        <w:rPr>
          <w:rFonts w:ascii="Arial" w:hAnsi="Arial" w:hint="cs"/>
          <w:noProof w:val="0"/>
          <w:rtl/>
        </w:rPr>
        <w:t>על כן, שלל את עמדת המערערת שלפנ</w:t>
      </w:r>
      <w:r w:rsidR="006A1893">
        <w:rPr>
          <w:rFonts w:ascii="Arial" w:hAnsi="Arial" w:hint="cs"/>
          <w:noProof w:val="0"/>
          <w:rtl/>
        </w:rPr>
        <w:t>יו כי הצדדים התקשרו בהסכם שכר ט</w:t>
      </w:r>
      <w:r w:rsidR="00DA47D9">
        <w:rPr>
          <w:rFonts w:ascii="Arial" w:hAnsi="Arial" w:hint="cs"/>
          <w:noProof w:val="0"/>
          <w:rtl/>
        </w:rPr>
        <w:t>רחה נוסף בעל-פה</w:t>
      </w:r>
      <w:r w:rsidR="009443E0">
        <w:rPr>
          <w:rFonts w:ascii="Arial" w:hAnsi="Arial" w:hint="cs"/>
          <w:noProof w:val="0"/>
          <w:rtl/>
        </w:rPr>
        <w:t xml:space="preserve"> המקנה למערערת זכאות לתשלומים נוספים (סעיפים 40 </w:t>
      </w:r>
      <w:r w:rsidR="009443E0">
        <w:rPr>
          <w:rFonts w:ascii="Arial" w:hAnsi="Arial"/>
          <w:noProof w:val="0"/>
          <w:rtl/>
        </w:rPr>
        <w:t>–</w:t>
      </w:r>
      <w:r w:rsidR="009443E0">
        <w:rPr>
          <w:rFonts w:ascii="Arial" w:hAnsi="Arial" w:hint="cs"/>
          <w:noProof w:val="0"/>
          <w:rtl/>
        </w:rPr>
        <w:t xml:space="preserve"> 41 לפסק הדין).</w:t>
      </w:r>
    </w:p>
    <w:p w:rsidR="00A7603F" w:rsidRDefault="009443E0" w:rsidP="004451B7">
      <w:pPr>
        <w:spacing w:line="360" w:lineRule="auto"/>
        <w:ind w:left="720" w:hanging="720"/>
        <w:jc w:val="both"/>
        <w:rPr>
          <w:rFonts w:ascii="Arial" w:hAnsi="Arial"/>
          <w:noProof w:val="0"/>
          <w:rtl/>
        </w:rPr>
      </w:pPr>
      <w:r>
        <w:rPr>
          <w:rFonts w:ascii="Arial" w:hAnsi="Arial" w:hint="cs"/>
          <w:noProof w:val="0"/>
          <w:rtl/>
        </w:rPr>
        <w:tab/>
        <w:t xml:space="preserve">ביחס לתביעת שכר ראוי בגין אובדן כושר עבודה </w:t>
      </w:r>
      <w:r w:rsidR="006A1893">
        <w:rPr>
          <w:rFonts w:ascii="Arial" w:hAnsi="Arial" w:hint="cs"/>
          <w:noProof w:val="0"/>
          <w:rtl/>
        </w:rPr>
        <w:t>מחברת הפניקס, קבע בית המשפט קמא</w:t>
      </w:r>
      <w:r>
        <w:rPr>
          <w:rFonts w:ascii="Arial" w:hAnsi="Arial" w:hint="cs"/>
          <w:noProof w:val="0"/>
          <w:rtl/>
        </w:rPr>
        <w:t xml:space="preserve"> כי העדויות שהובאו לפניו</w:t>
      </w:r>
      <w:r w:rsidR="006A1893">
        <w:rPr>
          <w:rFonts w:ascii="Arial" w:hAnsi="Arial" w:hint="cs"/>
          <w:noProof w:val="0"/>
          <w:rtl/>
        </w:rPr>
        <w:t>,</w:t>
      </w:r>
      <w:r>
        <w:rPr>
          <w:rFonts w:ascii="Arial" w:hAnsi="Arial" w:hint="cs"/>
          <w:noProof w:val="0"/>
          <w:rtl/>
        </w:rPr>
        <w:t xml:space="preserve"> הן של המערערת עצמה והן של מנהלת המשרד גב' </w:t>
      </w:r>
      <w:r w:rsidR="004451B7">
        <w:rPr>
          <w:rFonts w:ascii="Arial" w:hAnsi="Arial" w:hint="cs"/>
          <w:noProof w:val="0"/>
          <w:rtl/>
        </w:rPr>
        <w:t>אלמונית</w:t>
      </w:r>
      <w:r w:rsidR="006A1893">
        <w:rPr>
          <w:rFonts w:ascii="Arial" w:hAnsi="Arial" w:hint="cs"/>
          <w:noProof w:val="0"/>
          <w:rtl/>
        </w:rPr>
        <w:t>,</w:t>
      </w:r>
      <w:r>
        <w:rPr>
          <w:rFonts w:ascii="Arial" w:hAnsi="Arial" w:hint="cs"/>
          <w:noProof w:val="0"/>
          <w:rtl/>
        </w:rPr>
        <w:t xml:space="preserve"> לא הרימו את נטל הראיה. </w:t>
      </w:r>
    </w:p>
    <w:p w:rsidR="00E7358A" w:rsidRDefault="00E7358A" w:rsidP="00A7603F">
      <w:pPr>
        <w:spacing w:line="360" w:lineRule="auto"/>
        <w:ind w:left="720" w:hanging="720"/>
        <w:jc w:val="both"/>
        <w:rPr>
          <w:rFonts w:ascii="Arial" w:hAnsi="Arial"/>
          <w:noProof w:val="0"/>
          <w:rtl/>
        </w:rPr>
      </w:pPr>
    </w:p>
    <w:p w:rsidR="00A7603F" w:rsidRDefault="00A7603F" w:rsidP="00A7603F">
      <w:pPr>
        <w:spacing w:line="360" w:lineRule="auto"/>
        <w:ind w:left="720" w:hanging="720"/>
        <w:jc w:val="both"/>
        <w:rPr>
          <w:rFonts w:ascii="Arial" w:hAnsi="Arial"/>
          <w:noProof w:val="0"/>
          <w:rtl/>
        </w:rPr>
      </w:pPr>
      <w:r>
        <w:rPr>
          <w:rFonts w:ascii="Arial" w:hAnsi="Arial" w:hint="cs"/>
          <w:noProof w:val="0"/>
          <w:rtl/>
        </w:rPr>
        <w:t>11.</w:t>
      </w:r>
      <w:r>
        <w:rPr>
          <w:rFonts w:ascii="Arial" w:hAnsi="Arial" w:hint="cs"/>
          <w:noProof w:val="0"/>
          <w:rtl/>
        </w:rPr>
        <w:tab/>
        <w:t>עם זאת, בית המשפט קמא ראה לנכון לבחון את העבודה הנוספת שביצעה ה</w:t>
      </w:r>
      <w:r w:rsidR="006A1893">
        <w:rPr>
          <w:rFonts w:ascii="Arial" w:hAnsi="Arial" w:hint="cs"/>
          <w:noProof w:val="0"/>
          <w:rtl/>
        </w:rPr>
        <w:t>מערערת עבור המשיבה במשקפי שכר ט</w:t>
      </w:r>
      <w:r>
        <w:rPr>
          <w:rFonts w:ascii="Arial" w:hAnsi="Arial" w:hint="cs"/>
          <w:noProof w:val="0"/>
          <w:rtl/>
        </w:rPr>
        <w:t xml:space="preserve">רחה ראוי. </w:t>
      </w:r>
    </w:p>
    <w:p w:rsidR="00A7603F" w:rsidRDefault="006A1893" w:rsidP="00A7603F">
      <w:pPr>
        <w:spacing w:line="360" w:lineRule="auto"/>
        <w:ind w:left="720"/>
        <w:jc w:val="both"/>
        <w:rPr>
          <w:rFonts w:ascii="Arial" w:hAnsi="Arial"/>
          <w:noProof w:val="0"/>
          <w:rtl/>
        </w:rPr>
      </w:pPr>
      <w:r>
        <w:rPr>
          <w:rFonts w:ascii="Arial" w:hAnsi="Arial" w:hint="cs"/>
          <w:noProof w:val="0"/>
          <w:rtl/>
        </w:rPr>
        <w:t>ביחס לתביעת המוסד לביטוח לאומי בגין נכות כללית</w:t>
      </w:r>
      <w:r w:rsidR="00A7603F">
        <w:rPr>
          <w:rFonts w:ascii="Arial" w:hAnsi="Arial" w:hint="cs"/>
          <w:noProof w:val="0"/>
          <w:rtl/>
        </w:rPr>
        <w:t xml:space="preserve"> </w:t>
      </w:r>
      <w:r>
        <w:rPr>
          <w:rFonts w:ascii="Arial" w:hAnsi="Arial" w:hint="cs"/>
          <w:noProof w:val="0"/>
          <w:rtl/>
        </w:rPr>
        <w:t>ו</w:t>
      </w:r>
      <w:r w:rsidR="00A7603F">
        <w:rPr>
          <w:rFonts w:ascii="Arial" w:hAnsi="Arial" w:hint="cs"/>
          <w:noProof w:val="0"/>
          <w:rtl/>
        </w:rPr>
        <w:t>לאור הראיות שהובאו לפניו</w:t>
      </w:r>
      <w:r>
        <w:rPr>
          <w:rFonts w:ascii="Arial" w:hAnsi="Arial" w:hint="cs"/>
          <w:noProof w:val="0"/>
          <w:rtl/>
        </w:rPr>
        <w:t>, מצא בית המשפט קמא כי המערערת זכאית לשכר ט</w:t>
      </w:r>
      <w:r w:rsidR="00A7603F">
        <w:rPr>
          <w:rFonts w:ascii="Arial" w:hAnsi="Arial" w:hint="cs"/>
          <w:noProof w:val="0"/>
          <w:rtl/>
        </w:rPr>
        <w:t xml:space="preserve">רחה מסוים בסכום צנוע. </w:t>
      </w:r>
    </w:p>
    <w:p w:rsidR="00A7603F" w:rsidRDefault="00A7603F" w:rsidP="00A7603F">
      <w:pPr>
        <w:spacing w:line="360" w:lineRule="auto"/>
        <w:jc w:val="both"/>
        <w:rPr>
          <w:rFonts w:ascii="Arial" w:hAnsi="Arial"/>
          <w:noProof w:val="0"/>
          <w:rtl/>
        </w:rPr>
      </w:pPr>
    </w:p>
    <w:p w:rsidR="00A7603F" w:rsidRDefault="00A7603F" w:rsidP="001E6FA5">
      <w:pPr>
        <w:spacing w:line="360" w:lineRule="auto"/>
        <w:ind w:left="720" w:hanging="720"/>
        <w:jc w:val="both"/>
        <w:rPr>
          <w:rFonts w:ascii="Arial" w:hAnsi="Arial"/>
          <w:noProof w:val="0"/>
          <w:rtl/>
        </w:rPr>
      </w:pPr>
      <w:r>
        <w:rPr>
          <w:rFonts w:ascii="Arial" w:hAnsi="Arial" w:hint="cs"/>
          <w:noProof w:val="0"/>
          <w:rtl/>
        </w:rPr>
        <w:t>12.</w:t>
      </w:r>
      <w:r>
        <w:rPr>
          <w:rFonts w:ascii="Arial" w:hAnsi="Arial" w:hint="cs"/>
          <w:noProof w:val="0"/>
          <w:rtl/>
        </w:rPr>
        <w:tab/>
        <w:t xml:space="preserve">בסופו של דבר, נדחתה </w:t>
      </w:r>
      <w:r w:rsidR="001E6FA5">
        <w:rPr>
          <w:rFonts w:ascii="Arial" w:hAnsi="Arial" w:hint="cs"/>
          <w:noProof w:val="0"/>
          <w:rtl/>
        </w:rPr>
        <w:t xml:space="preserve">תביעתה </w:t>
      </w:r>
      <w:r>
        <w:rPr>
          <w:rFonts w:ascii="Arial" w:hAnsi="Arial" w:hint="cs"/>
          <w:noProof w:val="0"/>
          <w:rtl/>
        </w:rPr>
        <w:t xml:space="preserve">של המערערת </w:t>
      </w:r>
      <w:r w:rsidR="001E6FA5">
        <w:rPr>
          <w:rFonts w:ascii="Arial" w:hAnsi="Arial" w:hint="cs"/>
          <w:noProof w:val="0"/>
          <w:rtl/>
        </w:rPr>
        <w:t>בעיקרה, בהעדר הסכם שכר ט</w:t>
      </w:r>
      <w:r>
        <w:rPr>
          <w:rFonts w:ascii="Arial" w:hAnsi="Arial" w:hint="cs"/>
          <w:noProof w:val="0"/>
          <w:rtl/>
        </w:rPr>
        <w:t>רחה כתוב</w:t>
      </w:r>
      <w:r w:rsidR="001E6FA5">
        <w:rPr>
          <w:rFonts w:ascii="Arial" w:hAnsi="Arial" w:hint="cs"/>
          <w:noProof w:val="0"/>
          <w:rtl/>
        </w:rPr>
        <w:t>, תוך שנפסק למערערת</w:t>
      </w:r>
      <w:r>
        <w:rPr>
          <w:rFonts w:ascii="Arial" w:hAnsi="Arial" w:hint="cs"/>
          <w:noProof w:val="0"/>
          <w:rtl/>
        </w:rPr>
        <w:t xml:space="preserve"> סכום צנוע </w:t>
      </w:r>
      <w:r w:rsidR="001E6FA5">
        <w:rPr>
          <w:rFonts w:ascii="Arial" w:hAnsi="Arial" w:hint="cs"/>
          <w:noProof w:val="0"/>
          <w:rtl/>
        </w:rPr>
        <w:t xml:space="preserve">יחסית, </w:t>
      </w:r>
      <w:r>
        <w:rPr>
          <w:rFonts w:ascii="Arial" w:hAnsi="Arial" w:hint="cs"/>
          <w:noProof w:val="0"/>
          <w:rtl/>
        </w:rPr>
        <w:t xml:space="preserve">כפי שהוערך ע"י בית המשפט קמא כשכר ראוי. </w:t>
      </w:r>
    </w:p>
    <w:p w:rsidR="00A7603F" w:rsidRDefault="00A7603F" w:rsidP="00A7603F">
      <w:pPr>
        <w:spacing w:line="360" w:lineRule="auto"/>
        <w:ind w:left="720" w:hanging="720"/>
        <w:jc w:val="both"/>
        <w:rPr>
          <w:rFonts w:ascii="Arial" w:hAnsi="Arial"/>
          <w:noProof w:val="0"/>
          <w:rtl/>
        </w:rPr>
      </w:pPr>
    </w:p>
    <w:p w:rsidR="004009B8" w:rsidRDefault="001E6FA5" w:rsidP="001E6FA5">
      <w:pPr>
        <w:spacing w:line="360" w:lineRule="auto"/>
        <w:ind w:left="720" w:hanging="720"/>
        <w:jc w:val="both"/>
        <w:rPr>
          <w:rFonts w:ascii="Arial" w:hAnsi="Arial"/>
          <w:noProof w:val="0"/>
          <w:rtl/>
        </w:rPr>
      </w:pPr>
      <w:r>
        <w:rPr>
          <w:rFonts w:ascii="Arial" w:hAnsi="Arial" w:hint="cs"/>
          <w:noProof w:val="0"/>
          <w:rtl/>
        </w:rPr>
        <w:t>13.</w:t>
      </w:r>
      <w:r>
        <w:rPr>
          <w:rFonts w:ascii="Arial" w:hAnsi="Arial" w:hint="cs"/>
          <w:noProof w:val="0"/>
          <w:rtl/>
        </w:rPr>
        <w:tab/>
        <w:t>לאחר מכן</w:t>
      </w:r>
      <w:r w:rsidR="004009B8">
        <w:rPr>
          <w:rFonts w:ascii="Arial" w:hAnsi="Arial" w:hint="cs"/>
          <w:noProof w:val="0"/>
          <w:rtl/>
        </w:rPr>
        <w:t xml:space="preserve"> בחן בית המשפט קמא את טענות הקיזוז ואת התביעה שכנגד. מרבית טענות הקיזוז נדחו לאחר שקלא וטריא, למעט טענת קיזוז בגין חיוב כפול בשגגה בסך של 750 ₪ </w:t>
      </w:r>
      <w:r w:rsidR="00D33E4D">
        <w:rPr>
          <w:rFonts w:ascii="Arial" w:hAnsi="Arial" w:hint="cs"/>
          <w:noProof w:val="0"/>
          <w:rtl/>
        </w:rPr>
        <w:t xml:space="preserve">בו הכירה </w:t>
      </w:r>
      <w:r>
        <w:rPr>
          <w:rFonts w:ascii="Arial" w:hAnsi="Arial" w:hint="cs"/>
          <w:noProof w:val="0"/>
          <w:rtl/>
        </w:rPr>
        <w:t>המערערת</w:t>
      </w:r>
      <w:r w:rsidR="00D33E4D">
        <w:rPr>
          <w:rFonts w:ascii="Arial" w:hAnsi="Arial" w:hint="cs"/>
          <w:noProof w:val="0"/>
          <w:rtl/>
        </w:rPr>
        <w:t xml:space="preserve"> לאלתר עוד בעדותה לפני בית המשפט </w:t>
      </w:r>
      <w:r w:rsidR="004009B8">
        <w:rPr>
          <w:rFonts w:ascii="Arial" w:hAnsi="Arial" w:hint="cs"/>
          <w:noProof w:val="0"/>
          <w:rtl/>
        </w:rPr>
        <w:t>(סעיף 52 לפסק הדין).</w:t>
      </w:r>
      <w:r w:rsidR="00DE1738">
        <w:rPr>
          <w:rFonts w:ascii="Arial" w:hAnsi="Arial" w:hint="cs"/>
          <w:noProof w:val="0"/>
          <w:rtl/>
        </w:rPr>
        <w:t xml:space="preserve"> יתר טענות הקיזוז שהעלתה </w:t>
      </w:r>
      <w:r>
        <w:rPr>
          <w:rFonts w:ascii="Arial" w:hAnsi="Arial" w:hint="cs"/>
          <w:noProof w:val="0"/>
          <w:rtl/>
        </w:rPr>
        <w:t>המשיבה</w:t>
      </w:r>
      <w:r w:rsidR="00D33E4D">
        <w:rPr>
          <w:rFonts w:ascii="Arial" w:hAnsi="Arial" w:hint="cs"/>
          <w:noProof w:val="0"/>
          <w:rtl/>
        </w:rPr>
        <w:t xml:space="preserve"> וכן טענותיה לנזק בגין עיכוב מסמכים, נבחנו ונדחו. </w:t>
      </w:r>
    </w:p>
    <w:p w:rsidR="00DE1738" w:rsidRDefault="00DE1738" w:rsidP="004009B8">
      <w:pPr>
        <w:spacing w:line="360" w:lineRule="auto"/>
        <w:ind w:left="720" w:hanging="720"/>
        <w:jc w:val="both"/>
        <w:rPr>
          <w:rFonts w:ascii="Arial" w:hAnsi="Arial"/>
          <w:noProof w:val="0"/>
          <w:rtl/>
        </w:rPr>
      </w:pPr>
    </w:p>
    <w:p w:rsidR="00764AB8" w:rsidRDefault="00DE1738" w:rsidP="00D33E4D">
      <w:pPr>
        <w:spacing w:line="360" w:lineRule="auto"/>
        <w:ind w:left="720" w:hanging="720"/>
        <w:jc w:val="both"/>
        <w:rPr>
          <w:rFonts w:ascii="Arial" w:hAnsi="Arial"/>
          <w:noProof w:val="0"/>
          <w:rtl/>
        </w:rPr>
      </w:pPr>
      <w:r>
        <w:rPr>
          <w:rFonts w:ascii="Arial" w:hAnsi="Arial" w:hint="cs"/>
          <w:noProof w:val="0"/>
          <w:rtl/>
        </w:rPr>
        <w:lastRenderedPageBreak/>
        <w:t>14.</w:t>
      </w:r>
      <w:r>
        <w:rPr>
          <w:rFonts w:ascii="Arial" w:hAnsi="Arial"/>
          <w:noProof w:val="0"/>
          <w:rtl/>
        </w:rPr>
        <w:tab/>
      </w:r>
      <w:r>
        <w:rPr>
          <w:rFonts w:ascii="Arial" w:hAnsi="Arial" w:hint="cs"/>
          <w:noProof w:val="0"/>
          <w:rtl/>
        </w:rPr>
        <w:t xml:space="preserve">בית המשפט קמא סרק במסרק דק את כל </w:t>
      </w:r>
      <w:r w:rsidR="00D33E4D">
        <w:rPr>
          <w:rFonts w:ascii="Arial" w:hAnsi="Arial" w:hint="cs"/>
          <w:noProof w:val="0"/>
          <w:rtl/>
        </w:rPr>
        <w:t>ה</w:t>
      </w:r>
      <w:r>
        <w:rPr>
          <w:rFonts w:ascii="Arial" w:hAnsi="Arial" w:hint="cs"/>
          <w:noProof w:val="0"/>
          <w:rtl/>
        </w:rPr>
        <w:t>טענות</w:t>
      </w:r>
      <w:r w:rsidR="00D33E4D">
        <w:rPr>
          <w:rFonts w:ascii="Arial" w:hAnsi="Arial" w:hint="cs"/>
          <w:noProof w:val="0"/>
          <w:rtl/>
        </w:rPr>
        <w:t xml:space="preserve"> ההדדיות ובסופו של דבר קבע, כי על המשיבה לשלם למערערת סך של 7,261 ₪ כולל מע"מ</w:t>
      </w:r>
      <w:r w:rsidR="004458D5">
        <w:rPr>
          <w:rFonts w:ascii="Arial" w:hAnsi="Arial" w:hint="cs"/>
          <w:noProof w:val="0"/>
          <w:rtl/>
        </w:rPr>
        <w:t>,</w:t>
      </w:r>
      <w:r w:rsidR="00D33E4D">
        <w:rPr>
          <w:rFonts w:ascii="Arial" w:hAnsi="Arial" w:hint="cs"/>
          <w:noProof w:val="0"/>
          <w:rtl/>
        </w:rPr>
        <w:t xml:space="preserve"> בצרוף ריבית והצמדה ממועד הגשת התביעה ועד לתשלום המלא בפועל. התביעה שכנגד נדחתה. המשיבה חויבה בהוצאות המערערת בסך של 3,000 ₪ בתוספת מע"מ. </w:t>
      </w:r>
    </w:p>
    <w:p w:rsidR="00214D2B" w:rsidRDefault="00214D2B" w:rsidP="00D33E4D">
      <w:pPr>
        <w:spacing w:line="360" w:lineRule="auto"/>
        <w:ind w:left="720" w:hanging="720"/>
        <w:jc w:val="both"/>
        <w:rPr>
          <w:rFonts w:ascii="Arial" w:hAnsi="Arial"/>
          <w:b/>
          <w:bCs/>
          <w:noProof w:val="0"/>
          <w:sz w:val="26"/>
          <w:szCs w:val="26"/>
          <w:u w:val="single"/>
          <w:rtl/>
        </w:rPr>
      </w:pPr>
    </w:p>
    <w:p w:rsidR="00D33E4D" w:rsidRPr="00642712" w:rsidRDefault="00642712" w:rsidP="00D33E4D">
      <w:pPr>
        <w:spacing w:line="360" w:lineRule="auto"/>
        <w:ind w:left="720" w:hanging="720"/>
        <w:jc w:val="both"/>
        <w:rPr>
          <w:rFonts w:ascii="Arial" w:hAnsi="Arial"/>
          <w:b/>
          <w:bCs/>
          <w:noProof w:val="0"/>
          <w:sz w:val="26"/>
          <w:szCs w:val="26"/>
          <w:u w:val="single"/>
          <w:rtl/>
        </w:rPr>
      </w:pPr>
      <w:r w:rsidRPr="00642712">
        <w:rPr>
          <w:rFonts w:ascii="Arial" w:hAnsi="Arial" w:hint="cs"/>
          <w:b/>
          <w:bCs/>
          <w:noProof w:val="0"/>
          <w:sz w:val="26"/>
          <w:szCs w:val="26"/>
          <w:u w:val="single"/>
          <w:rtl/>
        </w:rPr>
        <w:t>הערעור הראשי:</w:t>
      </w:r>
    </w:p>
    <w:p w:rsidR="00764AB8" w:rsidRDefault="00764AB8">
      <w:pPr>
        <w:spacing w:line="360" w:lineRule="auto"/>
        <w:jc w:val="both"/>
        <w:rPr>
          <w:rFonts w:ascii="Arial" w:hAnsi="Arial"/>
          <w:noProof w:val="0"/>
          <w:rtl/>
        </w:rPr>
      </w:pPr>
    </w:p>
    <w:p w:rsidR="00642712" w:rsidRDefault="00642712" w:rsidP="00A7603F">
      <w:pPr>
        <w:spacing w:line="360" w:lineRule="auto"/>
        <w:ind w:left="720" w:hanging="720"/>
        <w:jc w:val="both"/>
        <w:rPr>
          <w:rFonts w:ascii="Arial" w:hAnsi="Arial"/>
          <w:noProof w:val="0"/>
          <w:rtl/>
        </w:rPr>
      </w:pPr>
      <w:r>
        <w:rPr>
          <w:rFonts w:ascii="Arial" w:hAnsi="Arial" w:hint="cs"/>
          <w:noProof w:val="0"/>
          <w:rtl/>
        </w:rPr>
        <w:t>15.</w:t>
      </w:r>
      <w:r>
        <w:rPr>
          <w:rFonts w:ascii="Arial" w:hAnsi="Arial" w:hint="cs"/>
          <w:noProof w:val="0"/>
          <w:rtl/>
        </w:rPr>
        <w:tab/>
      </w:r>
      <w:r w:rsidR="004F4510">
        <w:rPr>
          <w:rFonts w:ascii="Arial" w:hAnsi="Arial" w:hint="cs"/>
          <w:noProof w:val="0"/>
          <w:rtl/>
        </w:rPr>
        <w:t>ה</w:t>
      </w:r>
      <w:r w:rsidR="00A7603F">
        <w:rPr>
          <w:rFonts w:ascii="Arial" w:hAnsi="Arial" w:hint="cs"/>
          <w:noProof w:val="0"/>
          <w:rtl/>
        </w:rPr>
        <w:t>מערערת מציינת, כי הינה עורכת דין ותיקה המתמחה בתחום הנ</w:t>
      </w:r>
      <w:r w:rsidR="004458D5">
        <w:rPr>
          <w:rFonts w:ascii="Arial" w:hAnsi="Arial" w:hint="cs"/>
          <w:noProof w:val="0"/>
          <w:rtl/>
        </w:rPr>
        <w:t>זיקין, ביטוח לאומי ודיני עבודה.</w:t>
      </w:r>
      <w:r w:rsidR="00A7603F">
        <w:rPr>
          <w:rFonts w:ascii="Arial" w:hAnsi="Arial" w:hint="cs"/>
          <w:noProof w:val="0"/>
          <w:rtl/>
        </w:rPr>
        <w:t xml:space="preserve"> המש</w:t>
      </w:r>
      <w:r w:rsidR="004458D5">
        <w:rPr>
          <w:rFonts w:ascii="Arial" w:hAnsi="Arial" w:hint="cs"/>
          <w:noProof w:val="0"/>
          <w:rtl/>
        </w:rPr>
        <w:t>יבה נותרה לשיטתה חייבת לה שכר ט</w:t>
      </w:r>
      <w:r w:rsidR="00A7603F">
        <w:rPr>
          <w:rFonts w:ascii="Arial" w:hAnsi="Arial" w:hint="cs"/>
          <w:noProof w:val="0"/>
          <w:rtl/>
        </w:rPr>
        <w:t>רחה בגין הטיפול המשפטי בתיקיה. לטענתה של המערערת</w:t>
      </w:r>
      <w:r w:rsidR="004458D5">
        <w:rPr>
          <w:rFonts w:ascii="Arial" w:hAnsi="Arial" w:hint="cs"/>
          <w:noProof w:val="0"/>
          <w:rtl/>
        </w:rPr>
        <w:t>,</w:t>
      </w:r>
      <w:r w:rsidR="00A7603F">
        <w:rPr>
          <w:rFonts w:ascii="Arial" w:hAnsi="Arial" w:hint="cs"/>
          <w:noProof w:val="0"/>
          <w:rtl/>
        </w:rPr>
        <w:t xml:space="preserve"> היא ה</w:t>
      </w:r>
      <w:r w:rsidR="004458D5">
        <w:rPr>
          <w:rFonts w:ascii="Arial" w:hAnsi="Arial" w:hint="cs"/>
          <w:noProof w:val="0"/>
          <w:rtl/>
        </w:rPr>
        <w:t>גיעה להסכמות עם המשיבה על שכר ט</w:t>
      </w:r>
      <w:r w:rsidR="00A7603F">
        <w:rPr>
          <w:rFonts w:ascii="Arial" w:hAnsi="Arial" w:hint="cs"/>
          <w:noProof w:val="0"/>
          <w:rtl/>
        </w:rPr>
        <w:t xml:space="preserve">רחה שישולם לה והכל הוסבר בשפה המובנת למשיבה (עמ' 35 לפרוטוקול הדיון בבית המשפט קמא מיום 21.12.2022 בין השורות 17 </w:t>
      </w:r>
      <w:r w:rsidR="00A7603F">
        <w:rPr>
          <w:rFonts w:ascii="Arial" w:hAnsi="Arial"/>
          <w:noProof w:val="0"/>
          <w:rtl/>
        </w:rPr>
        <w:t>–</w:t>
      </w:r>
      <w:r w:rsidR="00A7603F">
        <w:rPr>
          <w:rFonts w:ascii="Arial" w:hAnsi="Arial" w:hint="cs"/>
          <w:noProof w:val="0"/>
          <w:rtl/>
        </w:rPr>
        <w:t xml:space="preserve"> 22). </w:t>
      </w:r>
    </w:p>
    <w:p w:rsidR="00214D2B" w:rsidRDefault="00214D2B" w:rsidP="00A7603F">
      <w:pPr>
        <w:spacing w:line="360" w:lineRule="auto"/>
        <w:ind w:left="720" w:hanging="720"/>
        <w:jc w:val="both"/>
        <w:rPr>
          <w:rFonts w:ascii="Arial" w:hAnsi="Arial"/>
          <w:noProof w:val="0"/>
          <w:rtl/>
        </w:rPr>
      </w:pPr>
    </w:p>
    <w:p w:rsidR="00A7603F" w:rsidRDefault="00214D2B" w:rsidP="00A7603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המערערת מלינה על כך</w:t>
      </w:r>
      <w:r w:rsidR="004458D5">
        <w:rPr>
          <w:rFonts w:ascii="Arial" w:hAnsi="Arial" w:hint="cs"/>
          <w:noProof w:val="0"/>
          <w:rtl/>
        </w:rPr>
        <w:t>,</w:t>
      </w:r>
      <w:r>
        <w:rPr>
          <w:rFonts w:ascii="Arial" w:hAnsi="Arial" w:hint="cs"/>
          <w:noProof w:val="0"/>
          <w:rtl/>
        </w:rPr>
        <w:t xml:space="preserve"> שלמרות שבסעיפים </w:t>
      </w:r>
      <w:r w:rsidR="004458D5">
        <w:rPr>
          <w:rFonts w:ascii="Arial" w:hAnsi="Arial" w:hint="cs"/>
          <w:noProof w:val="0"/>
          <w:rtl/>
        </w:rPr>
        <w:t>42 ו- 50 לפסק הדין קבע בית משפט קמא זכאות עקרונית שלה לקבלת שכר ט</w:t>
      </w:r>
      <w:r w:rsidR="00A634B3">
        <w:rPr>
          <w:rFonts w:ascii="Arial" w:hAnsi="Arial" w:hint="cs"/>
          <w:noProof w:val="0"/>
          <w:rtl/>
        </w:rPr>
        <w:t>רחה עבור העבודה שביצעה בפועל</w:t>
      </w:r>
      <w:r w:rsidR="004458D5">
        <w:rPr>
          <w:rFonts w:ascii="Arial" w:hAnsi="Arial" w:hint="cs"/>
          <w:noProof w:val="0"/>
          <w:rtl/>
        </w:rPr>
        <w:t xml:space="preserve"> ולו כשכר טירחה ראוי ולא כשכר ט</w:t>
      </w:r>
      <w:r w:rsidR="00A634B3">
        <w:rPr>
          <w:rFonts w:ascii="Arial" w:hAnsi="Arial" w:hint="cs"/>
          <w:noProof w:val="0"/>
          <w:rtl/>
        </w:rPr>
        <w:t xml:space="preserve">רחה חוזי, הרי הסכומים שפסק היו נמוכים באופן בלתי סביר ובלתי מידתי ביחס לעבודה שבוצעה ולנדרש. </w:t>
      </w:r>
    </w:p>
    <w:p w:rsidR="00A634B3" w:rsidRDefault="00A634B3" w:rsidP="00A7603F">
      <w:pPr>
        <w:spacing w:line="360" w:lineRule="auto"/>
        <w:ind w:left="720" w:hanging="720"/>
        <w:jc w:val="both"/>
        <w:rPr>
          <w:rFonts w:ascii="Arial" w:hAnsi="Arial"/>
          <w:noProof w:val="0"/>
          <w:rtl/>
        </w:rPr>
      </w:pPr>
      <w:r>
        <w:rPr>
          <w:rFonts w:ascii="Arial" w:hAnsi="Arial"/>
          <w:noProof w:val="0"/>
          <w:rtl/>
        </w:rPr>
        <w:tab/>
      </w:r>
      <w:r w:rsidR="00E7358A">
        <w:rPr>
          <w:rFonts w:ascii="Arial" w:hAnsi="Arial" w:hint="cs"/>
          <w:noProof w:val="0"/>
          <w:rtl/>
        </w:rPr>
        <w:t>המערערת סבורה, כי הק</w:t>
      </w:r>
      <w:r>
        <w:rPr>
          <w:rFonts w:ascii="Arial" w:hAnsi="Arial" w:hint="cs"/>
          <w:noProof w:val="0"/>
          <w:rtl/>
        </w:rPr>
        <w:t>ביעות העקרוניות ש</w:t>
      </w:r>
      <w:r w:rsidR="00E7358A">
        <w:rPr>
          <w:rFonts w:ascii="Arial" w:hAnsi="Arial" w:hint="cs"/>
          <w:noProof w:val="0"/>
          <w:rtl/>
        </w:rPr>
        <w:t xml:space="preserve">ל </w:t>
      </w:r>
      <w:r>
        <w:rPr>
          <w:rFonts w:ascii="Arial" w:hAnsi="Arial" w:hint="cs"/>
          <w:noProof w:val="0"/>
          <w:rtl/>
        </w:rPr>
        <w:t>בית המשפט קמא</w:t>
      </w:r>
      <w:r w:rsidR="00E7358A">
        <w:rPr>
          <w:rFonts w:ascii="Arial" w:hAnsi="Arial" w:hint="cs"/>
          <w:noProof w:val="0"/>
          <w:rtl/>
        </w:rPr>
        <w:t>,</w:t>
      </w:r>
      <w:r w:rsidR="004458D5">
        <w:rPr>
          <w:rFonts w:ascii="Arial" w:hAnsi="Arial" w:hint="cs"/>
          <w:noProof w:val="0"/>
          <w:rtl/>
        </w:rPr>
        <w:t xml:space="preserve"> כי היא זכאית לשכר ט</w:t>
      </w:r>
      <w:r>
        <w:rPr>
          <w:rFonts w:ascii="Arial" w:hAnsi="Arial" w:hint="cs"/>
          <w:noProof w:val="0"/>
          <w:rtl/>
        </w:rPr>
        <w:t xml:space="preserve">רחה, אינן עולות בקנה אחד עם הסכומים הנמוכים שנפסקו בפועל. </w:t>
      </w:r>
    </w:p>
    <w:p w:rsidR="00A634B3" w:rsidRDefault="00A634B3" w:rsidP="00A7603F">
      <w:pPr>
        <w:spacing w:line="360" w:lineRule="auto"/>
        <w:ind w:left="720" w:hanging="720"/>
        <w:jc w:val="both"/>
        <w:rPr>
          <w:rFonts w:ascii="Arial" w:hAnsi="Arial"/>
          <w:noProof w:val="0"/>
          <w:rtl/>
        </w:rPr>
      </w:pPr>
    </w:p>
    <w:p w:rsidR="00A634B3" w:rsidRDefault="00A634B3" w:rsidP="00A7603F">
      <w:pPr>
        <w:spacing w:line="360" w:lineRule="auto"/>
        <w:ind w:left="720" w:hanging="720"/>
        <w:jc w:val="both"/>
        <w:rPr>
          <w:rFonts w:ascii="Arial" w:hAnsi="Arial"/>
          <w:noProof w:val="0"/>
          <w:rtl/>
        </w:rPr>
      </w:pPr>
      <w:r>
        <w:rPr>
          <w:rFonts w:ascii="Arial" w:hAnsi="Arial" w:hint="cs"/>
          <w:noProof w:val="0"/>
          <w:rtl/>
        </w:rPr>
        <w:t>16.</w:t>
      </w:r>
      <w:r>
        <w:rPr>
          <w:rFonts w:ascii="Arial" w:hAnsi="Arial" w:hint="cs"/>
          <w:noProof w:val="0"/>
          <w:rtl/>
        </w:rPr>
        <w:tab/>
        <w:t>המערערת פירטה את הסכומים שנפסקו לעומת הסכומים שלדעתה מגיעים לה</w:t>
      </w:r>
      <w:r w:rsidR="00FC012F">
        <w:rPr>
          <w:rFonts w:ascii="Arial" w:hAnsi="Arial" w:hint="cs"/>
          <w:noProof w:val="0"/>
          <w:rtl/>
        </w:rPr>
        <w:t>:</w:t>
      </w:r>
    </w:p>
    <w:p w:rsidR="00E7358A" w:rsidRDefault="00E7358A" w:rsidP="00D746B1">
      <w:pPr>
        <w:spacing w:line="360" w:lineRule="auto"/>
        <w:ind w:left="720"/>
        <w:jc w:val="both"/>
        <w:rPr>
          <w:rFonts w:ascii="Arial" w:hAnsi="Arial"/>
          <w:b/>
          <w:bCs/>
          <w:noProof w:val="0"/>
          <w:rtl/>
        </w:rPr>
      </w:pPr>
    </w:p>
    <w:p w:rsidR="00FC012F" w:rsidRDefault="00D746B1" w:rsidP="00D746B1">
      <w:pPr>
        <w:spacing w:line="360" w:lineRule="auto"/>
        <w:ind w:left="720"/>
        <w:jc w:val="both"/>
        <w:rPr>
          <w:rFonts w:ascii="Arial" w:hAnsi="Arial"/>
          <w:noProof w:val="0"/>
          <w:rtl/>
        </w:rPr>
      </w:pPr>
      <w:r w:rsidRPr="00305060">
        <w:rPr>
          <w:rFonts w:ascii="Arial" w:hAnsi="Arial" w:hint="cs"/>
          <w:b/>
          <w:bCs/>
          <w:noProof w:val="0"/>
          <w:rtl/>
        </w:rPr>
        <w:t>ביטוח לאומי</w:t>
      </w:r>
      <w:r>
        <w:rPr>
          <w:rFonts w:ascii="Arial" w:hAnsi="Arial" w:hint="cs"/>
          <w:noProof w:val="0"/>
          <w:rtl/>
        </w:rPr>
        <w:t xml:space="preserve"> </w:t>
      </w:r>
      <w:r>
        <w:rPr>
          <w:rFonts w:ascii="Arial" w:hAnsi="Arial"/>
          <w:noProof w:val="0"/>
          <w:rtl/>
        </w:rPr>
        <w:t>–</w:t>
      </w:r>
      <w:r>
        <w:rPr>
          <w:rFonts w:ascii="Arial" w:hAnsi="Arial" w:hint="cs"/>
          <w:noProof w:val="0"/>
          <w:rtl/>
        </w:rPr>
        <w:t xml:space="preserve"> תביעת נכות מעבודה </w:t>
      </w:r>
      <w:r>
        <w:rPr>
          <w:rFonts w:ascii="Arial" w:hAnsi="Arial"/>
          <w:noProof w:val="0"/>
          <w:rtl/>
        </w:rPr>
        <w:t>–</w:t>
      </w:r>
      <w:r>
        <w:rPr>
          <w:rFonts w:ascii="Arial" w:hAnsi="Arial" w:hint="cs"/>
          <w:noProof w:val="0"/>
          <w:rtl/>
        </w:rPr>
        <w:t xml:space="preserve"> נפסקו 399 ₪ והגיע לה לדעתה סכום של 1,017.5 ₪</w:t>
      </w:r>
      <w:r w:rsidR="00832F06">
        <w:rPr>
          <w:rFonts w:ascii="Arial" w:hAnsi="Arial" w:hint="cs"/>
          <w:noProof w:val="0"/>
          <w:rtl/>
        </w:rPr>
        <w:t>,</w:t>
      </w:r>
      <w:r>
        <w:rPr>
          <w:rFonts w:ascii="Arial" w:hAnsi="Arial" w:hint="cs"/>
          <w:noProof w:val="0"/>
          <w:rtl/>
        </w:rPr>
        <w:t xml:space="preserve"> שכן הסכום של 1,895 ₪ אותו דרשה פחות 750 ₪ שנגבה בכפל בטעות על ידה, פלוס מע"מ 877</w:t>
      </w:r>
      <w:r w:rsidR="00832F06">
        <w:rPr>
          <w:rFonts w:ascii="Arial" w:hAnsi="Arial" w:hint="cs"/>
          <w:noProof w:val="0"/>
          <w:rtl/>
        </w:rPr>
        <w:t xml:space="preserve">.5 ₪ מביאים לתוצאה של 1,017.5 ₪, </w:t>
      </w:r>
      <w:r>
        <w:rPr>
          <w:rFonts w:ascii="Arial" w:hAnsi="Arial" w:hint="cs"/>
          <w:noProof w:val="0"/>
          <w:rtl/>
        </w:rPr>
        <w:t xml:space="preserve">ולא כפי שנפסק. </w:t>
      </w:r>
    </w:p>
    <w:p w:rsidR="00D746B1" w:rsidRDefault="00D746B1" w:rsidP="00D746B1">
      <w:pPr>
        <w:spacing w:line="360" w:lineRule="auto"/>
        <w:ind w:left="720"/>
        <w:jc w:val="both"/>
        <w:rPr>
          <w:rFonts w:ascii="Arial" w:hAnsi="Arial"/>
          <w:noProof w:val="0"/>
          <w:rtl/>
        </w:rPr>
      </w:pPr>
    </w:p>
    <w:p w:rsidR="00D746B1" w:rsidRDefault="00D746B1" w:rsidP="00B02FB0">
      <w:pPr>
        <w:spacing w:line="360" w:lineRule="auto"/>
        <w:ind w:left="720"/>
        <w:jc w:val="both"/>
        <w:rPr>
          <w:rFonts w:ascii="Arial" w:hAnsi="Arial"/>
          <w:noProof w:val="0"/>
          <w:rtl/>
        </w:rPr>
      </w:pPr>
      <w:r w:rsidRPr="00305060">
        <w:rPr>
          <w:rFonts w:ascii="Arial" w:hAnsi="Arial" w:hint="cs"/>
          <w:b/>
          <w:bCs/>
          <w:noProof w:val="0"/>
          <w:rtl/>
        </w:rPr>
        <w:t>תביעה נגד מנורה</w:t>
      </w:r>
      <w:r>
        <w:rPr>
          <w:rFonts w:ascii="Arial" w:hAnsi="Arial" w:hint="cs"/>
          <w:noProof w:val="0"/>
          <w:rtl/>
        </w:rPr>
        <w:t xml:space="preserve"> </w:t>
      </w:r>
      <w:r>
        <w:rPr>
          <w:rFonts w:ascii="Arial" w:hAnsi="Arial"/>
          <w:noProof w:val="0"/>
          <w:rtl/>
        </w:rPr>
        <w:t>–</w:t>
      </w:r>
      <w:r>
        <w:rPr>
          <w:rFonts w:ascii="Arial" w:hAnsi="Arial" w:hint="cs"/>
          <w:noProof w:val="0"/>
          <w:rtl/>
        </w:rPr>
        <w:t xml:space="preserve"> לטענ</w:t>
      </w:r>
      <w:r w:rsidR="00B02FB0">
        <w:rPr>
          <w:rFonts w:ascii="Arial" w:hAnsi="Arial" w:hint="cs"/>
          <w:noProof w:val="0"/>
          <w:rtl/>
        </w:rPr>
        <w:t>ת המערערת, שגה בית המשפט קמא בק</w:t>
      </w:r>
      <w:r>
        <w:rPr>
          <w:rFonts w:ascii="Arial" w:hAnsi="Arial" w:hint="cs"/>
          <w:noProof w:val="0"/>
          <w:rtl/>
        </w:rPr>
        <w:t>בעו כי ההסכם</w:t>
      </w:r>
      <w:r w:rsidR="00B02FB0">
        <w:rPr>
          <w:rFonts w:ascii="Arial" w:hAnsi="Arial" w:hint="cs"/>
          <w:noProof w:val="0"/>
          <w:rtl/>
        </w:rPr>
        <w:t xml:space="preserve"> משנת</w:t>
      </w:r>
      <w:r>
        <w:rPr>
          <w:rFonts w:ascii="Arial" w:hAnsi="Arial" w:hint="cs"/>
          <w:noProof w:val="0"/>
          <w:rtl/>
        </w:rPr>
        <w:t xml:space="preserve"> 2017 נוסח רק ביחס לתמורה שת</w:t>
      </w:r>
      <w:r w:rsidR="00B02FB0">
        <w:rPr>
          <w:rFonts w:ascii="Arial" w:hAnsi="Arial" w:hint="cs"/>
          <w:noProof w:val="0"/>
          <w:rtl/>
        </w:rPr>
        <w:t>תקבל ולא מזכה את המערערת בשכר ט</w:t>
      </w:r>
      <w:r>
        <w:rPr>
          <w:rFonts w:ascii="Arial" w:hAnsi="Arial" w:hint="cs"/>
          <w:noProof w:val="0"/>
          <w:rtl/>
        </w:rPr>
        <w:t xml:space="preserve">רחה עבור הפטור. </w:t>
      </w:r>
      <w:r w:rsidR="00B02FB0">
        <w:rPr>
          <w:rFonts w:ascii="Arial" w:hAnsi="Arial" w:hint="cs"/>
          <w:noProof w:val="0"/>
          <w:rtl/>
        </w:rPr>
        <w:t xml:space="preserve">כן נטען כי </w:t>
      </w:r>
      <w:r>
        <w:rPr>
          <w:rFonts w:ascii="Arial" w:hAnsi="Arial" w:hint="cs"/>
          <w:noProof w:val="0"/>
          <w:rtl/>
        </w:rPr>
        <w:t>גם ביטול הפרמיה הוא חסך למשיבה כספים רבים מידי חודש. לכן</w:t>
      </w:r>
      <w:r w:rsidR="00B02FB0">
        <w:rPr>
          <w:rFonts w:ascii="Arial" w:hAnsi="Arial" w:hint="cs"/>
          <w:noProof w:val="0"/>
          <w:rtl/>
        </w:rPr>
        <w:t xml:space="preserve"> לטענתה, היא זכאית להשלמת שכר ט</w:t>
      </w:r>
      <w:r>
        <w:rPr>
          <w:rFonts w:ascii="Arial" w:hAnsi="Arial" w:hint="cs"/>
          <w:noProof w:val="0"/>
          <w:rtl/>
        </w:rPr>
        <w:t>רחה</w:t>
      </w:r>
      <w:r w:rsidR="00305060">
        <w:rPr>
          <w:rFonts w:ascii="Arial" w:hAnsi="Arial" w:hint="cs"/>
          <w:noProof w:val="0"/>
          <w:rtl/>
        </w:rPr>
        <w:t xml:space="preserve"> בשיעור 5,242 ₪ כולל מע"מ (לאחר שהסכום הראוי בגין הליך זה היה 9,742 ₪ ושולם סך של 4,500 ₪). </w:t>
      </w:r>
    </w:p>
    <w:p w:rsidR="00305060" w:rsidRDefault="00305060" w:rsidP="00D746B1">
      <w:pPr>
        <w:spacing w:line="360" w:lineRule="auto"/>
        <w:ind w:left="720"/>
        <w:jc w:val="both"/>
        <w:rPr>
          <w:rFonts w:ascii="Arial" w:hAnsi="Arial"/>
          <w:noProof w:val="0"/>
          <w:rtl/>
        </w:rPr>
      </w:pPr>
    </w:p>
    <w:p w:rsidR="00305060" w:rsidRDefault="00305060" w:rsidP="00305060">
      <w:pPr>
        <w:spacing w:line="360" w:lineRule="auto"/>
        <w:ind w:left="720"/>
        <w:jc w:val="both"/>
        <w:rPr>
          <w:rFonts w:ascii="Arial" w:hAnsi="Arial"/>
          <w:noProof w:val="0"/>
          <w:rtl/>
        </w:rPr>
      </w:pPr>
      <w:r>
        <w:rPr>
          <w:rFonts w:ascii="Arial" w:hAnsi="Arial" w:hint="cs"/>
          <w:b/>
          <w:bCs/>
          <w:noProof w:val="0"/>
          <w:rtl/>
        </w:rPr>
        <w:lastRenderedPageBreak/>
        <w:t>תביעת חבות מעבידים בגין תאונת עבודה</w:t>
      </w:r>
      <w:r>
        <w:rPr>
          <w:rFonts w:ascii="Arial" w:hAnsi="Arial" w:hint="cs"/>
          <w:noProof w:val="0"/>
          <w:rtl/>
        </w:rPr>
        <w:t xml:space="preserve"> </w:t>
      </w:r>
      <w:r>
        <w:rPr>
          <w:rFonts w:ascii="Arial" w:hAnsi="Arial"/>
          <w:noProof w:val="0"/>
          <w:rtl/>
        </w:rPr>
        <w:t>–</w:t>
      </w:r>
      <w:r>
        <w:rPr>
          <w:rFonts w:ascii="Arial" w:hAnsi="Arial" w:hint="cs"/>
          <w:noProof w:val="0"/>
          <w:rtl/>
        </w:rPr>
        <w:t xml:space="preserve"> המערערת טוענת כי דין פרוטה כדין מאה. בית המשפט קמא שגה כאשר פסק לה בגין ס</w:t>
      </w:r>
      <w:r w:rsidR="00B02FB0">
        <w:rPr>
          <w:rFonts w:ascii="Arial" w:hAnsi="Arial" w:hint="cs"/>
          <w:noProof w:val="0"/>
          <w:rtl/>
        </w:rPr>
        <w:t>עיף זה סך של 336 ₪ בלבד. שכר הט</w:t>
      </w:r>
      <w:r>
        <w:rPr>
          <w:rFonts w:ascii="Arial" w:hAnsi="Arial" w:hint="cs"/>
          <w:noProof w:val="0"/>
          <w:rtl/>
        </w:rPr>
        <w:t xml:space="preserve">רחה היה 4,942 ₪. שולם סך של 4,500 ₪ ולכן נותר לתשלום סך של 442 ₪ כולל מע"מ. </w:t>
      </w:r>
    </w:p>
    <w:p w:rsidR="00305060" w:rsidRDefault="00305060" w:rsidP="00305060">
      <w:pPr>
        <w:spacing w:line="360" w:lineRule="auto"/>
        <w:ind w:left="720"/>
        <w:jc w:val="both"/>
        <w:rPr>
          <w:rFonts w:ascii="Arial" w:hAnsi="Arial"/>
          <w:noProof w:val="0"/>
          <w:rtl/>
        </w:rPr>
      </w:pPr>
    </w:p>
    <w:p w:rsidR="00305060" w:rsidRDefault="00305060" w:rsidP="00305060">
      <w:pPr>
        <w:spacing w:line="360" w:lineRule="auto"/>
        <w:ind w:left="720"/>
        <w:jc w:val="both"/>
        <w:rPr>
          <w:rFonts w:ascii="Arial" w:hAnsi="Arial"/>
          <w:noProof w:val="0"/>
          <w:rtl/>
        </w:rPr>
      </w:pPr>
      <w:r>
        <w:rPr>
          <w:rFonts w:ascii="Arial" w:hAnsi="Arial" w:hint="cs"/>
          <w:b/>
          <w:bCs/>
          <w:noProof w:val="0"/>
          <w:rtl/>
        </w:rPr>
        <w:t>ביטוח בריאות הראל</w:t>
      </w:r>
      <w:r>
        <w:rPr>
          <w:rFonts w:ascii="Arial" w:hAnsi="Arial" w:hint="cs"/>
          <w:noProof w:val="0"/>
          <w:rtl/>
        </w:rPr>
        <w:t xml:space="preserve"> </w:t>
      </w:r>
      <w:r>
        <w:rPr>
          <w:rFonts w:ascii="Arial" w:hAnsi="Arial"/>
          <w:noProof w:val="0"/>
          <w:rtl/>
        </w:rPr>
        <w:t>–</w:t>
      </w:r>
      <w:r>
        <w:rPr>
          <w:rFonts w:ascii="Arial" w:hAnsi="Arial" w:hint="cs"/>
          <w:noProof w:val="0"/>
          <w:rtl/>
        </w:rPr>
        <w:t xml:space="preserve"> ל</w:t>
      </w:r>
      <w:r w:rsidR="00E7358A">
        <w:rPr>
          <w:rFonts w:ascii="Arial" w:hAnsi="Arial" w:hint="cs"/>
          <w:noProof w:val="0"/>
          <w:rtl/>
        </w:rPr>
        <w:t>טענת המערערת</w:t>
      </w:r>
      <w:r w:rsidR="00B02FB0">
        <w:rPr>
          <w:rFonts w:ascii="Arial" w:hAnsi="Arial" w:hint="cs"/>
          <w:noProof w:val="0"/>
          <w:rtl/>
        </w:rPr>
        <w:t>,</w:t>
      </w:r>
      <w:r w:rsidR="00E7358A">
        <w:rPr>
          <w:rFonts w:ascii="Arial" w:hAnsi="Arial" w:hint="cs"/>
          <w:noProof w:val="0"/>
          <w:rtl/>
        </w:rPr>
        <w:t xml:space="preserve"> בית המשפט קמא שגה עת </w:t>
      </w:r>
      <w:r>
        <w:rPr>
          <w:rFonts w:ascii="Arial" w:hAnsi="Arial" w:hint="cs"/>
          <w:noProof w:val="0"/>
          <w:rtl/>
        </w:rPr>
        <w:t>דחה את תביעתה בגין רכיב זה, שכן המשיבה ביצעה ניתוח פרטי והיא קיבלה החזר בזכות המערערת. לטענתה, העבודה שבוצעה שווה 2,000 ₪ פלוס מע"מ שזה הסכום המקובל, וסך הכל 2,340 ₪ כולל מע"מ.</w:t>
      </w:r>
    </w:p>
    <w:p w:rsidR="00305060" w:rsidRDefault="00305060" w:rsidP="00305060">
      <w:pPr>
        <w:spacing w:line="360" w:lineRule="auto"/>
        <w:ind w:left="720"/>
        <w:jc w:val="both"/>
        <w:rPr>
          <w:rFonts w:ascii="Arial" w:hAnsi="Arial"/>
          <w:noProof w:val="0"/>
          <w:rtl/>
        </w:rPr>
      </w:pPr>
    </w:p>
    <w:p w:rsidR="00305060" w:rsidRDefault="00B02FB0" w:rsidP="00305060">
      <w:pPr>
        <w:spacing w:line="360" w:lineRule="auto"/>
        <w:ind w:left="720"/>
        <w:jc w:val="both"/>
        <w:rPr>
          <w:rFonts w:ascii="Arial" w:hAnsi="Arial"/>
          <w:noProof w:val="0"/>
          <w:rtl/>
        </w:rPr>
      </w:pPr>
      <w:r>
        <w:rPr>
          <w:rFonts w:ascii="Arial" w:hAnsi="Arial" w:hint="cs"/>
          <w:b/>
          <w:bCs/>
          <w:noProof w:val="0"/>
          <w:rtl/>
        </w:rPr>
        <w:t xml:space="preserve">תג נכה מול משרד התחבורה </w:t>
      </w:r>
      <w:r>
        <w:rPr>
          <w:rFonts w:ascii="Arial" w:hAnsi="Arial"/>
          <w:b/>
          <w:bCs/>
          <w:noProof w:val="0"/>
          <w:rtl/>
        </w:rPr>
        <w:t>–</w:t>
      </w:r>
      <w:r>
        <w:rPr>
          <w:rFonts w:ascii="Arial" w:hAnsi="Arial" w:hint="cs"/>
          <w:b/>
          <w:bCs/>
          <w:noProof w:val="0"/>
          <w:rtl/>
        </w:rPr>
        <w:t xml:space="preserve"> </w:t>
      </w:r>
      <w:r w:rsidR="00305060">
        <w:rPr>
          <w:rFonts w:ascii="Arial" w:hAnsi="Arial" w:hint="cs"/>
          <w:noProof w:val="0"/>
          <w:rtl/>
        </w:rPr>
        <w:t>לטענת המערערת</w:t>
      </w:r>
      <w:r>
        <w:rPr>
          <w:rFonts w:ascii="Arial" w:hAnsi="Arial" w:hint="cs"/>
          <w:noProof w:val="0"/>
          <w:rtl/>
        </w:rPr>
        <w:t>,</w:t>
      </w:r>
      <w:r w:rsidR="00305060">
        <w:rPr>
          <w:rFonts w:ascii="Arial" w:hAnsi="Arial" w:hint="cs"/>
          <w:noProof w:val="0"/>
          <w:rtl/>
        </w:rPr>
        <w:t xml:space="preserve"> סכומים שביקשה בגין רכיב זה סבירים ומקובלים בתחום ואף נמוכים. סך הכל ביקשה 2,510 ₪ לכל בקשה וביחד 7,020 ₪ כולל מע"מ. העבודה בוצעה, המשיבה לא הכחישה זאת ולטענת </w:t>
      </w:r>
      <w:r>
        <w:rPr>
          <w:rFonts w:ascii="Arial" w:hAnsi="Arial" w:hint="cs"/>
          <w:noProof w:val="0"/>
          <w:rtl/>
        </w:rPr>
        <w:t>המערערת היה מקום לפסוק לה שכר ט</w:t>
      </w:r>
      <w:r w:rsidR="00305060">
        <w:rPr>
          <w:rFonts w:ascii="Arial" w:hAnsi="Arial" w:hint="cs"/>
          <w:noProof w:val="0"/>
          <w:rtl/>
        </w:rPr>
        <w:t xml:space="preserve">רחה בגין רכיב זה. </w:t>
      </w:r>
    </w:p>
    <w:p w:rsidR="00305060" w:rsidRDefault="00305060" w:rsidP="00305060">
      <w:pPr>
        <w:spacing w:line="360" w:lineRule="auto"/>
        <w:ind w:left="720"/>
        <w:jc w:val="both"/>
        <w:rPr>
          <w:rFonts w:ascii="Arial" w:hAnsi="Arial"/>
          <w:noProof w:val="0"/>
          <w:rtl/>
        </w:rPr>
      </w:pPr>
    </w:p>
    <w:p w:rsidR="00305060" w:rsidRDefault="000F705E" w:rsidP="00305060">
      <w:pPr>
        <w:spacing w:line="360" w:lineRule="auto"/>
        <w:ind w:left="720"/>
        <w:jc w:val="both"/>
        <w:rPr>
          <w:rFonts w:ascii="Arial" w:hAnsi="Arial"/>
          <w:noProof w:val="0"/>
          <w:rtl/>
        </w:rPr>
      </w:pPr>
      <w:r>
        <w:rPr>
          <w:rFonts w:ascii="Arial" w:hAnsi="Arial" w:hint="cs"/>
          <w:b/>
          <w:bCs/>
          <w:noProof w:val="0"/>
          <w:rtl/>
        </w:rPr>
        <w:t xml:space="preserve">תביעת אובדן כושר עבודה כנגד הפניקס </w:t>
      </w:r>
      <w:r w:rsidR="0012604E">
        <w:rPr>
          <w:rFonts w:ascii="Arial" w:hAnsi="Arial"/>
          <w:noProof w:val="0"/>
          <w:rtl/>
        </w:rPr>
        <w:t>–</w:t>
      </w:r>
      <w:r>
        <w:rPr>
          <w:rFonts w:ascii="Arial" w:hAnsi="Arial" w:hint="cs"/>
          <w:noProof w:val="0"/>
          <w:rtl/>
        </w:rPr>
        <w:t xml:space="preserve"> </w:t>
      </w:r>
      <w:r w:rsidR="0012604E">
        <w:rPr>
          <w:rFonts w:ascii="Arial" w:hAnsi="Arial" w:hint="cs"/>
          <w:noProof w:val="0"/>
          <w:rtl/>
        </w:rPr>
        <w:t>לטענת המערערת</w:t>
      </w:r>
      <w:r w:rsidR="00B02FB0">
        <w:rPr>
          <w:rFonts w:ascii="Arial" w:hAnsi="Arial" w:hint="cs"/>
          <w:noProof w:val="0"/>
          <w:rtl/>
        </w:rPr>
        <w:t>, שגה בית משפט קמא בק</w:t>
      </w:r>
      <w:r w:rsidR="0012604E">
        <w:rPr>
          <w:rFonts w:ascii="Arial" w:hAnsi="Arial" w:hint="cs"/>
          <w:noProof w:val="0"/>
          <w:rtl/>
        </w:rPr>
        <w:t xml:space="preserve">בעו כי המערערת לא הוכיחה כריתת הסכם בעל-פה בינה לבין המשיבה בשיעור של 18% פלוס מע"מ עבור הקצבאות שתקבל מעבר ל- 36 חודשי קצבה ראשונים. </w:t>
      </w:r>
      <w:r w:rsidR="00B02FB0">
        <w:rPr>
          <w:rFonts w:ascii="Arial" w:hAnsi="Arial" w:hint="cs"/>
          <w:noProof w:val="0"/>
          <w:rtl/>
        </w:rPr>
        <w:t xml:space="preserve">המערערת ציינה כי </w:t>
      </w:r>
      <w:r w:rsidR="0012604E">
        <w:rPr>
          <w:rFonts w:ascii="Arial" w:hAnsi="Arial" w:hint="cs"/>
          <w:noProof w:val="0"/>
          <w:rtl/>
        </w:rPr>
        <w:t>המשיבה קיבלה ותקבל כתוצאה מעבודתה של המערערת בלבד 100% אובדן כושר עבודה לאורך שנים רבות קצבה חודשית. בזכות עבודתה המקצועית, כך טוענת המערערת, זכתה המשיבה בקצבה בגיל צעיר של 39 שנה וע</w:t>
      </w:r>
      <w:r w:rsidR="00B02FB0">
        <w:rPr>
          <w:rFonts w:ascii="Arial" w:hAnsi="Arial" w:hint="cs"/>
          <w:noProof w:val="0"/>
          <w:rtl/>
        </w:rPr>
        <w:t>ל כן היה מקום לזכות אותה בשכר ט</w:t>
      </w:r>
      <w:r w:rsidR="0012604E">
        <w:rPr>
          <w:rFonts w:ascii="Arial" w:hAnsi="Arial" w:hint="cs"/>
          <w:noProof w:val="0"/>
          <w:rtl/>
        </w:rPr>
        <w:t>רחה</w:t>
      </w:r>
      <w:r w:rsidR="00B02FB0">
        <w:rPr>
          <w:rFonts w:ascii="Arial" w:hAnsi="Arial" w:hint="cs"/>
          <w:noProof w:val="0"/>
          <w:rtl/>
        </w:rPr>
        <w:t xml:space="preserve"> המבוקש. בגין תיק זה נקבע שכר ט</w:t>
      </w:r>
      <w:r w:rsidR="0012604E">
        <w:rPr>
          <w:rFonts w:ascii="Arial" w:hAnsi="Arial" w:hint="cs"/>
          <w:noProof w:val="0"/>
          <w:rtl/>
        </w:rPr>
        <w:t xml:space="preserve">רחה על סך 87,874.56 ₪, </w:t>
      </w:r>
      <w:r w:rsidR="00B02FB0">
        <w:rPr>
          <w:rFonts w:ascii="Arial" w:hAnsi="Arial" w:hint="cs"/>
          <w:noProof w:val="0"/>
          <w:rtl/>
        </w:rPr>
        <w:t xml:space="preserve">כאשר </w:t>
      </w:r>
      <w:r w:rsidR="0012604E">
        <w:rPr>
          <w:rFonts w:ascii="Arial" w:hAnsi="Arial" w:hint="cs"/>
          <w:noProof w:val="0"/>
          <w:rtl/>
        </w:rPr>
        <w:t xml:space="preserve">שולם סך של 37,155 ₪ ונותר לתשלום סך של 44,720 ₪ כולל מע"מ. </w:t>
      </w:r>
    </w:p>
    <w:p w:rsidR="0012604E" w:rsidRDefault="0012604E" w:rsidP="00305060">
      <w:pPr>
        <w:spacing w:line="360" w:lineRule="auto"/>
        <w:ind w:left="720"/>
        <w:jc w:val="both"/>
        <w:rPr>
          <w:rFonts w:ascii="Arial" w:hAnsi="Arial"/>
          <w:noProof w:val="0"/>
          <w:rtl/>
        </w:rPr>
      </w:pPr>
    </w:p>
    <w:p w:rsidR="0012604E" w:rsidRDefault="00C97C9B" w:rsidP="0083210F">
      <w:pPr>
        <w:spacing w:line="360" w:lineRule="auto"/>
        <w:ind w:left="720"/>
        <w:jc w:val="both"/>
        <w:rPr>
          <w:rFonts w:ascii="Arial" w:hAnsi="Arial"/>
          <w:noProof w:val="0"/>
          <w:rtl/>
        </w:rPr>
      </w:pPr>
      <w:r>
        <w:rPr>
          <w:rFonts w:ascii="Arial" w:hAnsi="Arial" w:hint="cs"/>
          <w:b/>
          <w:bCs/>
          <w:noProof w:val="0"/>
          <w:rtl/>
        </w:rPr>
        <w:t xml:space="preserve">תביעת ביטוח לאומי נכות כללית </w:t>
      </w:r>
      <w:r>
        <w:rPr>
          <w:rFonts w:ascii="Arial" w:hAnsi="Arial" w:hint="cs"/>
          <w:noProof w:val="0"/>
          <w:rtl/>
        </w:rPr>
        <w:t xml:space="preserve"> - התקיימו 20 וועדות רפואיות ושני דיונים בבית הדין לעבודה. </w:t>
      </w:r>
      <w:r w:rsidR="0083210F">
        <w:rPr>
          <w:rFonts w:ascii="Arial" w:hAnsi="Arial" w:hint="cs"/>
          <w:noProof w:val="0"/>
          <w:rtl/>
        </w:rPr>
        <w:t xml:space="preserve">נטען כי </w:t>
      </w:r>
      <w:r w:rsidR="00B02FB0">
        <w:rPr>
          <w:rFonts w:ascii="Arial" w:hAnsi="Arial" w:hint="cs"/>
          <w:noProof w:val="0"/>
          <w:rtl/>
        </w:rPr>
        <w:t>ה</w:t>
      </w:r>
      <w:r>
        <w:rPr>
          <w:rFonts w:ascii="Arial" w:hAnsi="Arial" w:hint="cs"/>
          <w:noProof w:val="0"/>
          <w:rtl/>
        </w:rPr>
        <w:t>הליך המשפטי בגין תביעת נכות כללית היה ארוך</w:t>
      </w:r>
      <w:r w:rsidR="0083210F">
        <w:rPr>
          <w:rFonts w:ascii="Arial" w:hAnsi="Arial" w:hint="cs"/>
          <w:noProof w:val="0"/>
          <w:rtl/>
        </w:rPr>
        <w:t xml:space="preserve"> והצריך עבודה רבה מצד המערערת. </w:t>
      </w:r>
      <w:r>
        <w:rPr>
          <w:rFonts w:ascii="Arial" w:hAnsi="Arial" w:hint="cs"/>
          <w:noProof w:val="0"/>
          <w:rtl/>
        </w:rPr>
        <w:t xml:space="preserve">על כן לשיטתה, לא היה מקום שבית המשפט קמא יפסוק לה בגין רכיב זה סכום זעום של 4,329 ₪ בלבד במקום 29,752 ₪. </w:t>
      </w:r>
    </w:p>
    <w:p w:rsidR="00C97C9B" w:rsidRDefault="00C97C9B" w:rsidP="00305060">
      <w:pPr>
        <w:spacing w:line="360" w:lineRule="auto"/>
        <w:ind w:left="720"/>
        <w:jc w:val="both"/>
        <w:rPr>
          <w:rFonts w:ascii="Arial" w:hAnsi="Arial"/>
          <w:noProof w:val="0"/>
          <w:rtl/>
        </w:rPr>
      </w:pPr>
    </w:p>
    <w:p w:rsidR="00261729" w:rsidRDefault="00261729" w:rsidP="009E364C">
      <w:pPr>
        <w:spacing w:line="360" w:lineRule="auto"/>
        <w:ind w:left="720" w:hanging="720"/>
        <w:jc w:val="both"/>
        <w:rPr>
          <w:rFonts w:ascii="Arial" w:hAnsi="Arial"/>
          <w:noProof w:val="0"/>
          <w:rtl/>
        </w:rPr>
      </w:pPr>
      <w:r>
        <w:rPr>
          <w:rFonts w:ascii="Arial" w:hAnsi="Arial" w:hint="cs"/>
          <w:noProof w:val="0"/>
          <w:rtl/>
        </w:rPr>
        <w:t>17.</w:t>
      </w:r>
      <w:r>
        <w:rPr>
          <w:rFonts w:ascii="Arial" w:hAnsi="Arial" w:hint="cs"/>
          <w:noProof w:val="0"/>
          <w:rtl/>
        </w:rPr>
        <w:tab/>
        <w:t xml:space="preserve">המערערת גורסת, כי היא זכאית </w:t>
      </w:r>
      <w:r w:rsidR="009E364C">
        <w:rPr>
          <w:rFonts w:ascii="Arial" w:hAnsi="Arial" w:hint="cs"/>
          <w:noProof w:val="0"/>
          <w:rtl/>
        </w:rPr>
        <w:t>לשכר עבודתה, כאשר בהסכמי שכר הט</w:t>
      </w:r>
      <w:r>
        <w:rPr>
          <w:rFonts w:ascii="Arial" w:hAnsi="Arial" w:hint="cs"/>
          <w:noProof w:val="0"/>
          <w:rtl/>
        </w:rPr>
        <w:t>רחה בסעיף 1, נכתב שהלקוחה תידרש לשלם שכר טירחה נוסף בהתאם להליכים שיהיו בעתיד.</w:t>
      </w:r>
    </w:p>
    <w:p w:rsidR="00261729" w:rsidRDefault="00261729" w:rsidP="0083210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המערערת טוענת, כי המשיבה רצתה שהמערערת תפעל באותם הליכים משפטיים למענה ועליה לשלם את התמורה בגין ההישגים שהושגו במסגרתם. לשיטתה זהו חוזה מכללא </w:t>
      </w:r>
      <w:r>
        <w:rPr>
          <w:rFonts w:ascii="Arial" w:hAnsi="Arial" w:hint="cs"/>
          <w:noProof w:val="0"/>
          <w:rtl/>
        </w:rPr>
        <w:lastRenderedPageBreak/>
        <w:t xml:space="preserve">המשתמע </w:t>
      </w:r>
      <w:r w:rsidR="001136D8">
        <w:rPr>
          <w:rFonts w:ascii="Arial" w:hAnsi="Arial" w:hint="cs"/>
          <w:noProof w:val="0"/>
          <w:rtl/>
        </w:rPr>
        <w:t xml:space="preserve">מתוך התנהגות הצדדים. </w:t>
      </w:r>
      <w:r w:rsidR="009E364C">
        <w:rPr>
          <w:rFonts w:ascii="Arial" w:hAnsi="Arial" w:hint="cs"/>
          <w:noProof w:val="0"/>
          <w:rtl/>
        </w:rPr>
        <w:t>לטענתה, מדובר ב</w:t>
      </w:r>
      <w:r w:rsidR="001136D8">
        <w:rPr>
          <w:rFonts w:ascii="Arial" w:hAnsi="Arial" w:hint="cs"/>
          <w:noProof w:val="0"/>
          <w:rtl/>
        </w:rPr>
        <w:t xml:space="preserve">גמירות דעת, אשר נלמדת מתוך הנסיבות. </w:t>
      </w:r>
    </w:p>
    <w:p w:rsidR="00B4659D" w:rsidRDefault="00B4659D" w:rsidP="00261729">
      <w:pPr>
        <w:spacing w:line="360" w:lineRule="auto"/>
        <w:ind w:left="720" w:hanging="720"/>
        <w:jc w:val="both"/>
        <w:rPr>
          <w:rFonts w:ascii="Arial" w:hAnsi="Arial"/>
          <w:noProof w:val="0"/>
          <w:rtl/>
        </w:rPr>
      </w:pPr>
    </w:p>
    <w:p w:rsidR="00B4659D" w:rsidRDefault="00B4659D" w:rsidP="00261729">
      <w:pPr>
        <w:spacing w:line="360" w:lineRule="auto"/>
        <w:ind w:left="720" w:hanging="720"/>
        <w:jc w:val="both"/>
        <w:rPr>
          <w:rFonts w:ascii="Arial" w:hAnsi="Arial"/>
          <w:noProof w:val="0"/>
          <w:rtl/>
        </w:rPr>
      </w:pPr>
      <w:r>
        <w:rPr>
          <w:rFonts w:ascii="Arial" w:hAnsi="Arial" w:hint="cs"/>
          <w:noProof w:val="0"/>
          <w:rtl/>
        </w:rPr>
        <w:t>18.</w:t>
      </w:r>
      <w:r>
        <w:rPr>
          <w:rFonts w:ascii="Arial" w:hAnsi="Arial" w:hint="cs"/>
          <w:noProof w:val="0"/>
          <w:rtl/>
        </w:rPr>
        <w:tab/>
        <w:t>המערערת טוענת, כי המשיבה למעשה מתחמקת מלשלם לה עבור השירות שהעניקה לה לאורך השנים. לשיטתה ובניגוד לקביעות בית המשפט קמא</w:t>
      </w:r>
      <w:r w:rsidR="009E364C">
        <w:rPr>
          <w:rFonts w:ascii="Arial" w:hAnsi="Arial" w:hint="cs"/>
          <w:noProof w:val="0"/>
          <w:rtl/>
        </w:rPr>
        <w:t>,</w:t>
      </w:r>
      <w:r>
        <w:rPr>
          <w:rFonts w:ascii="Arial" w:hAnsi="Arial" w:hint="cs"/>
          <w:noProof w:val="0"/>
          <w:rtl/>
        </w:rPr>
        <w:t xml:space="preserve"> הודתה המשיבה כי היה הס</w:t>
      </w:r>
      <w:r w:rsidR="009E364C">
        <w:rPr>
          <w:rFonts w:ascii="Arial" w:hAnsi="Arial" w:hint="cs"/>
          <w:noProof w:val="0"/>
          <w:rtl/>
        </w:rPr>
        <w:t>כם בעל פה, הודתה שהסכימה לשכר ט</w:t>
      </w:r>
      <w:r>
        <w:rPr>
          <w:rFonts w:ascii="Arial" w:hAnsi="Arial" w:hint="cs"/>
          <w:noProof w:val="0"/>
          <w:rtl/>
        </w:rPr>
        <w:t>רחה כולל 36 תשלומים בגין תביעת נכות כללית מל"ל וגם לעניין תביעה כנגד הפניקס. המערערת עבדה שנים ארוכות עבור המשיבה ועל כן היא ז</w:t>
      </w:r>
      <w:r w:rsidR="009E364C">
        <w:rPr>
          <w:rFonts w:ascii="Arial" w:hAnsi="Arial" w:hint="cs"/>
          <w:noProof w:val="0"/>
          <w:rtl/>
        </w:rPr>
        <w:t>כאית לטענתה לשכר הט</w:t>
      </w:r>
      <w:r>
        <w:rPr>
          <w:rFonts w:ascii="Arial" w:hAnsi="Arial" w:hint="cs"/>
          <w:noProof w:val="0"/>
          <w:rtl/>
        </w:rPr>
        <w:t xml:space="preserve">רחה המלא אותו דרשה. </w:t>
      </w:r>
    </w:p>
    <w:p w:rsidR="00A20A99" w:rsidRDefault="00A20A99" w:rsidP="00261729">
      <w:pPr>
        <w:spacing w:line="360" w:lineRule="auto"/>
        <w:ind w:left="720" w:hanging="720"/>
        <w:jc w:val="both"/>
        <w:rPr>
          <w:rFonts w:ascii="Arial" w:hAnsi="Arial"/>
          <w:noProof w:val="0"/>
          <w:rtl/>
        </w:rPr>
      </w:pPr>
    </w:p>
    <w:p w:rsidR="00A20A99" w:rsidRPr="00C97C9B" w:rsidRDefault="00A20A99" w:rsidP="00261729">
      <w:pPr>
        <w:spacing w:line="360" w:lineRule="auto"/>
        <w:ind w:left="720" w:hanging="720"/>
        <w:jc w:val="both"/>
        <w:rPr>
          <w:rFonts w:ascii="Arial" w:hAnsi="Arial"/>
          <w:noProof w:val="0"/>
          <w:rtl/>
        </w:rPr>
      </w:pPr>
      <w:r>
        <w:rPr>
          <w:rFonts w:ascii="Arial" w:hAnsi="Arial" w:hint="cs"/>
          <w:noProof w:val="0"/>
          <w:rtl/>
        </w:rPr>
        <w:t>19.</w:t>
      </w:r>
      <w:r>
        <w:rPr>
          <w:rFonts w:ascii="Arial" w:hAnsi="Arial" w:hint="cs"/>
          <w:noProof w:val="0"/>
          <w:rtl/>
        </w:rPr>
        <w:tab/>
        <w:t xml:space="preserve">מכאן הערעור. </w:t>
      </w:r>
    </w:p>
    <w:p w:rsidR="00642712" w:rsidRPr="00843FB4" w:rsidRDefault="00642712">
      <w:pPr>
        <w:spacing w:line="360" w:lineRule="auto"/>
        <w:jc w:val="both"/>
        <w:rPr>
          <w:rFonts w:ascii="Arial" w:hAnsi="Arial"/>
          <w:b/>
          <w:bCs/>
          <w:noProof w:val="0"/>
          <w:sz w:val="26"/>
          <w:szCs w:val="26"/>
          <w:u w:val="single"/>
          <w:rtl/>
        </w:rPr>
      </w:pPr>
    </w:p>
    <w:p w:rsidR="007568C9" w:rsidRDefault="007568C9" w:rsidP="00442867">
      <w:pPr>
        <w:spacing w:line="360" w:lineRule="auto"/>
        <w:jc w:val="both"/>
        <w:rPr>
          <w:rFonts w:ascii="Arial" w:hAnsi="Arial"/>
          <w:b/>
          <w:bCs/>
          <w:noProof w:val="0"/>
          <w:sz w:val="26"/>
          <w:szCs w:val="26"/>
          <w:u w:val="single"/>
          <w:rtl/>
        </w:rPr>
      </w:pPr>
    </w:p>
    <w:p w:rsidR="00442867" w:rsidRDefault="00442867" w:rsidP="00442867">
      <w:pPr>
        <w:spacing w:line="360" w:lineRule="auto"/>
        <w:jc w:val="both"/>
        <w:rPr>
          <w:rFonts w:ascii="Arial" w:hAnsi="Arial"/>
          <w:b/>
          <w:bCs/>
          <w:noProof w:val="0"/>
          <w:sz w:val="26"/>
          <w:szCs w:val="26"/>
          <w:u w:val="single"/>
        </w:rPr>
      </w:pPr>
      <w:r>
        <w:rPr>
          <w:rFonts w:ascii="Arial" w:hAnsi="Arial"/>
          <w:b/>
          <w:bCs/>
          <w:noProof w:val="0"/>
          <w:sz w:val="26"/>
          <w:szCs w:val="26"/>
          <w:u w:val="single"/>
          <w:rtl/>
        </w:rPr>
        <w:t>תשובת המשיבה וערעור משיב:</w:t>
      </w:r>
    </w:p>
    <w:p w:rsidR="00442867" w:rsidRDefault="00442867" w:rsidP="00442867">
      <w:pPr>
        <w:spacing w:line="360" w:lineRule="auto"/>
        <w:jc w:val="both"/>
        <w:rPr>
          <w:rFonts w:ascii="Arial" w:hAnsi="Arial"/>
          <w:noProof w:val="0"/>
          <w:rtl/>
        </w:rPr>
      </w:pPr>
    </w:p>
    <w:p w:rsidR="00442867" w:rsidRDefault="00442867" w:rsidP="00442867">
      <w:pPr>
        <w:spacing w:line="360" w:lineRule="auto"/>
        <w:ind w:left="720" w:hanging="720"/>
        <w:jc w:val="both"/>
        <w:rPr>
          <w:rFonts w:ascii="Arial" w:hAnsi="Arial"/>
          <w:noProof w:val="0"/>
          <w:rtl/>
        </w:rPr>
      </w:pPr>
      <w:r>
        <w:rPr>
          <w:rFonts w:ascii="Arial" w:hAnsi="Arial"/>
          <w:noProof w:val="0"/>
          <w:rtl/>
        </w:rPr>
        <w:t>20.</w:t>
      </w:r>
      <w:r>
        <w:rPr>
          <w:rFonts w:ascii="Arial" w:hAnsi="Arial"/>
          <w:noProof w:val="0"/>
          <w:rtl/>
        </w:rPr>
        <w:tab/>
        <w:t xml:space="preserve">המשיבה בתשובתה לערעור </w:t>
      </w:r>
      <w:r w:rsidR="0083210F">
        <w:rPr>
          <w:rFonts w:ascii="Arial" w:hAnsi="Arial" w:hint="cs"/>
          <w:noProof w:val="0"/>
          <w:rtl/>
        </w:rPr>
        <w:t>,</w:t>
      </w:r>
      <w:r>
        <w:rPr>
          <w:rFonts w:ascii="Arial" w:hAnsi="Arial"/>
          <w:noProof w:val="0"/>
          <w:rtl/>
        </w:rPr>
        <w:t>סקרה אחת לאחת את טענות המערערת ביחס לפסק הדין קמא, כפי שיפורט להלן.</w:t>
      </w:r>
    </w:p>
    <w:p w:rsidR="00442867" w:rsidRDefault="00442867" w:rsidP="00442867">
      <w:pPr>
        <w:spacing w:line="360" w:lineRule="auto"/>
        <w:ind w:left="720" w:hanging="720"/>
        <w:jc w:val="both"/>
        <w:rPr>
          <w:rFonts w:ascii="Arial" w:hAnsi="Arial"/>
          <w:noProof w:val="0"/>
          <w:rtl/>
        </w:rPr>
      </w:pPr>
    </w:p>
    <w:p w:rsidR="00442867" w:rsidRDefault="00442867" w:rsidP="00442867">
      <w:pPr>
        <w:spacing w:line="360" w:lineRule="auto"/>
        <w:ind w:left="720" w:hanging="720"/>
        <w:jc w:val="both"/>
        <w:rPr>
          <w:rFonts w:ascii="Arial" w:hAnsi="Arial"/>
          <w:noProof w:val="0"/>
          <w:rtl/>
        </w:rPr>
      </w:pPr>
      <w:r>
        <w:rPr>
          <w:rFonts w:ascii="Arial" w:hAnsi="Arial"/>
          <w:noProof w:val="0"/>
          <w:rtl/>
        </w:rPr>
        <w:t xml:space="preserve">21. </w:t>
      </w:r>
      <w:r>
        <w:rPr>
          <w:rFonts w:ascii="Arial" w:hAnsi="Arial"/>
          <w:noProof w:val="0"/>
          <w:rtl/>
        </w:rPr>
        <w:tab/>
      </w:r>
      <w:r w:rsidR="00ED1BE0">
        <w:rPr>
          <w:rFonts w:ascii="Arial" w:hAnsi="Arial"/>
          <w:noProof w:val="0"/>
          <w:rtl/>
        </w:rPr>
        <w:t>ביחס לשכר ט</w:t>
      </w:r>
      <w:r>
        <w:rPr>
          <w:rFonts w:ascii="Arial" w:hAnsi="Arial"/>
          <w:noProof w:val="0"/>
          <w:rtl/>
        </w:rPr>
        <w:t xml:space="preserve">רחה בגין טיפול בתביעה לתגמולי נכות מעבודה נגד המל"ל – סעיף 52 לפסק הדין קמא. הופחת מהסכום של 1,895 ₪ שנתבע, סך של 750 ₪ בתוספת מע"מ עבור חיוב כפול בגין הופעה בוועדה רפואית. לטענת המשיבה, הטעות בחישוב בנקודה זו היא לטובת המערערת שכן היה חיוב כפול לא רק בגין ישיבת יום 8.6.2016 אלא חיוב נוסף בגין דיון מיום 7.11.2016 שלא התקיים. </w:t>
      </w:r>
    </w:p>
    <w:p w:rsidR="00442867" w:rsidRDefault="00442867" w:rsidP="00442867">
      <w:pPr>
        <w:spacing w:line="360" w:lineRule="auto"/>
        <w:ind w:left="720" w:hanging="720"/>
        <w:jc w:val="both"/>
        <w:rPr>
          <w:rFonts w:ascii="Arial" w:hAnsi="Arial"/>
          <w:noProof w:val="0"/>
          <w:rtl/>
        </w:rPr>
      </w:pPr>
    </w:p>
    <w:p w:rsidR="00442867" w:rsidRDefault="00ED1BE0" w:rsidP="00442867">
      <w:pPr>
        <w:spacing w:line="360" w:lineRule="auto"/>
        <w:ind w:left="720" w:hanging="720"/>
        <w:jc w:val="both"/>
        <w:rPr>
          <w:rFonts w:ascii="Arial" w:hAnsi="Arial"/>
          <w:noProof w:val="0"/>
          <w:rtl/>
        </w:rPr>
      </w:pPr>
      <w:r>
        <w:rPr>
          <w:rFonts w:ascii="Arial" w:hAnsi="Arial"/>
          <w:noProof w:val="0"/>
          <w:rtl/>
        </w:rPr>
        <w:t>22.</w:t>
      </w:r>
      <w:r>
        <w:rPr>
          <w:rFonts w:ascii="Arial" w:hAnsi="Arial"/>
          <w:noProof w:val="0"/>
          <w:rtl/>
        </w:rPr>
        <w:tab/>
        <w:t>ביחס לשכר ט</w:t>
      </w:r>
      <w:r w:rsidR="00442867">
        <w:rPr>
          <w:rFonts w:ascii="Arial" w:hAnsi="Arial"/>
          <w:noProof w:val="0"/>
          <w:rtl/>
        </w:rPr>
        <w:t xml:space="preserve">רחה בגין פטור מתשלום פרמיות לחברת מנורה – סעיף 59 לפסק הדין קמא. נקבע כי המשיבה תשלם למערערת בהסכם שכ"ט 18% בתוספת מע"מ מכל סכום שיתקבל מחברת הביטוח עבור תשלום פנסיית נכות ואובדן כושר עבודה. מנורה אומנם לא שילמה למשיבה מאומה בגין אובדן כושר עבודה, אולם פטרה את המשיבה מתשלום חלק מהפרמיות בגין פוליסת הביטוח. על כן טוענת המשיבה כי בצדק קבע בית המשפט קמא כי לפי הסכם שכ"ט זכאית המערערת רק לשכ"ט מותנה הצלחה בגין התגמולים ממנורה שלא שולמו למשיבה, אך לא בגין פטור מתשלום פרמיות. זהו לשונו של הסכם שכ"ט ובהתאם פסק בית המשפט קמא. המשיבה גורסת כי אין בכך פסול. </w:t>
      </w:r>
    </w:p>
    <w:p w:rsidR="00442867" w:rsidRDefault="00442867" w:rsidP="00442867">
      <w:pPr>
        <w:spacing w:line="360" w:lineRule="auto"/>
        <w:ind w:left="720" w:hanging="720"/>
        <w:jc w:val="both"/>
        <w:rPr>
          <w:rFonts w:ascii="Arial" w:hAnsi="Arial"/>
          <w:noProof w:val="0"/>
          <w:rtl/>
        </w:rPr>
      </w:pPr>
    </w:p>
    <w:p w:rsidR="00442867" w:rsidRDefault="00ED1BE0" w:rsidP="00442867">
      <w:pPr>
        <w:spacing w:line="360" w:lineRule="auto"/>
        <w:ind w:left="720" w:hanging="720"/>
        <w:jc w:val="both"/>
        <w:rPr>
          <w:rFonts w:ascii="Arial" w:hAnsi="Arial"/>
          <w:noProof w:val="0"/>
          <w:rtl/>
        </w:rPr>
      </w:pPr>
      <w:r>
        <w:rPr>
          <w:rFonts w:ascii="Arial" w:hAnsi="Arial"/>
          <w:noProof w:val="0"/>
          <w:rtl/>
        </w:rPr>
        <w:lastRenderedPageBreak/>
        <w:t>23.</w:t>
      </w:r>
      <w:r>
        <w:rPr>
          <w:rFonts w:ascii="Arial" w:hAnsi="Arial"/>
          <w:noProof w:val="0"/>
          <w:rtl/>
        </w:rPr>
        <w:tab/>
        <w:t>ביחס לשכר ט</w:t>
      </w:r>
      <w:r w:rsidR="00442867">
        <w:rPr>
          <w:rFonts w:ascii="Arial" w:hAnsi="Arial"/>
          <w:noProof w:val="0"/>
          <w:rtl/>
        </w:rPr>
        <w:t>רחה בגין טיפול תביעת חבות מעבידים – סעיף 60 לפסק הדין קמא. המערערת דרשה בגין רכיב זה שכ"ט בשיעור כולל עבור עבודתה, הוצאותיה והכל בצרוף מע"מ של 17%.</w:t>
      </w:r>
    </w:p>
    <w:p w:rsidR="00442867" w:rsidRDefault="00442867" w:rsidP="00442867">
      <w:pPr>
        <w:spacing w:line="360" w:lineRule="auto"/>
        <w:ind w:left="720" w:hanging="720"/>
        <w:jc w:val="both"/>
        <w:rPr>
          <w:rFonts w:ascii="Arial" w:hAnsi="Arial"/>
          <w:noProof w:val="0"/>
          <w:rtl/>
        </w:rPr>
      </w:pPr>
      <w:r>
        <w:rPr>
          <w:rFonts w:ascii="Arial" w:hAnsi="Arial"/>
          <w:noProof w:val="0"/>
          <w:rtl/>
        </w:rPr>
        <w:tab/>
        <w:t xml:space="preserve">בית המשפט קמא קיבל את עמדת המשיבה לפיה אין לחייב אותה במע"מ בגין החזר הוצאות ולפיכך, הפחית מהסכום שנתבע סך של 116 ₪ והעמיד את החיוב בגין רכיב זה על סך של 510 ₪ בלבד, בדין ובצדק. </w:t>
      </w:r>
    </w:p>
    <w:p w:rsidR="00442867" w:rsidRDefault="00442867" w:rsidP="00442867">
      <w:pPr>
        <w:spacing w:line="360" w:lineRule="auto"/>
        <w:ind w:left="720" w:hanging="720"/>
        <w:jc w:val="both"/>
        <w:rPr>
          <w:rFonts w:ascii="Arial" w:hAnsi="Arial"/>
          <w:noProof w:val="0"/>
          <w:rtl/>
        </w:rPr>
      </w:pPr>
    </w:p>
    <w:p w:rsidR="00442867" w:rsidRDefault="00ED1BE0" w:rsidP="00442867">
      <w:pPr>
        <w:spacing w:line="360" w:lineRule="auto"/>
        <w:ind w:left="720" w:hanging="720"/>
        <w:jc w:val="both"/>
        <w:rPr>
          <w:rFonts w:ascii="Arial" w:hAnsi="Arial"/>
          <w:noProof w:val="0"/>
          <w:rtl/>
        </w:rPr>
      </w:pPr>
      <w:r>
        <w:rPr>
          <w:rFonts w:ascii="Arial" w:hAnsi="Arial"/>
          <w:noProof w:val="0"/>
          <w:rtl/>
        </w:rPr>
        <w:t>24.</w:t>
      </w:r>
      <w:r>
        <w:rPr>
          <w:rFonts w:ascii="Arial" w:hAnsi="Arial"/>
          <w:noProof w:val="0"/>
          <w:rtl/>
        </w:rPr>
        <w:tab/>
        <w:t>ביחס לשכר ט</w:t>
      </w:r>
      <w:r w:rsidR="00442867">
        <w:rPr>
          <w:rFonts w:ascii="Arial" w:hAnsi="Arial"/>
          <w:noProof w:val="0"/>
          <w:rtl/>
        </w:rPr>
        <w:t>רחה בגין החזר הוצאות ניתוח מהראל וטיפול בקבלת תו נכה- סעיפים 61 ו- 62 לפסק הדין קמא.</w:t>
      </w:r>
    </w:p>
    <w:p w:rsidR="0083210F" w:rsidRDefault="00442867" w:rsidP="00442867">
      <w:pPr>
        <w:spacing w:line="360" w:lineRule="auto"/>
        <w:ind w:left="720" w:hanging="720"/>
        <w:jc w:val="both"/>
        <w:rPr>
          <w:rFonts w:ascii="Arial" w:hAnsi="Arial"/>
          <w:noProof w:val="0"/>
          <w:rtl/>
        </w:rPr>
      </w:pPr>
      <w:r>
        <w:rPr>
          <w:rFonts w:ascii="Arial" w:hAnsi="Arial"/>
          <w:noProof w:val="0"/>
          <w:rtl/>
        </w:rPr>
        <w:tab/>
        <w:t>המשיבה סומכת ידיה על פסק הדין קמא. לדבריה, הטיפול בשני נושאים אלה לא הוסדר</w:t>
      </w:r>
      <w:r w:rsidR="0083210F">
        <w:rPr>
          <w:rFonts w:ascii="Arial" w:hAnsi="Arial" w:hint="cs"/>
          <w:noProof w:val="0"/>
          <w:rtl/>
        </w:rPr>
        <w:t>.</w:t>
      </w:r>
      <w:r>
        <w:rPr>
          <w:rFonts w:ascii="Arial" w:hAnsi="Arial"/>
          <w:noProof w:val="0"/>
          <w:rtl/>
        </w:rPr>
        <w:t xml:space="preserve"> בהסכם שכ"ט ובהעדר הוכחות לעניין היקף העבודה שביצעה לטענתה</w:t>
      </w:r>
      <w:r w:rsidR="0083210F">
        <w:rPr>
          <w:rFonts w:ascii="Arial" w:hAnsi="Arial" w:hint="cs"/>
          <w:noProof w:val="0"/>
          <w:rtl/>
        </w:rPr>
        <w:t>,</w:t>
      </w:r>
      <w:r>
        <w:rPr>
          <w:rFonts w:ascii="Arial" w:hAnsi="Arial"/>
          <w:noProof w:val="0"/>
          <w:rtl/>
        </w:rPr>
        <w:t xml:space="preserve"> או לעניין שכר ראוי ומקובל בגין טיפול מסוג זה, לא היה מקום לפסוק למערערת סכום כלשהו. </w:t>
      </w:r>
    </w:p>
    <w:p w:rsidR="00442867" w:rsidRDefault="00442867" w:rsidP="0083210F">
      <w:pPr>
        <w:spacing w:line="360" w:lineRule="auto"/>
        <w:ind w:left="720"/>
        <w:jc w:val="both"/>
        <w:rPr>
          <w:rFonts w:ascii="Arial" w:hAnsi="Arial"/>
          <w:noProof w:val="0"/>
          <w:rtl/>
        </w:rPr>
      </w:pPr>
      <w:r>
        <w:rPr>
          <w:rFonts w:ascii="Arial" w:hAnsi="Arial"/>
          <w:noProof w:val="0"/>
          <w:rtl/>
        </w:rPr>
        <w:t>המשיבה מוסיפה כי בזמן אמת המ</w:t>
      </w:r>
      <w:r w:rsidR="0083210F">
        <w:rPr>
          <w:rFonts w:ascii="Arial" w:hAnsi="Arial" w:hint="cs"/>
          <w:noProof w:val="0"/>
          <w:rtl/>
        </w:rPr>
        <w:t>ערערת</w:t>
      </w:r>
      <w:r>
        <w:rPr>
          <w:rFonts w:ascii="Arial" w:hAnsi="Arial"/>
          <w:noProof w:val="0"/>
          <w:rtl/>
        </w:rPr>
        <w:t xml:space="preserve"> לא דרשה שכ"ט בגין הנ"ל.</w:t>
      </w:r>
    </w:p>
    <w:p w:rsidR="00442867" w:rsidRDefault="00442867" w:rsidP="00442867">
      <w:pPr>
        <w:spacing w:line="360" w:lineRule="auto"/>
        <w:ind w:left="720" w:hanging="720"/>
        <w:jc w:val="both"/>
        <w:rPr>
          <w:rFonts w:ascii="Arial" w:hAnsi="Arial"/>
          <w:noProof w:val="0"/>
          <w:rtl/>
        </w:rPr>
      </w:pPr>
    </w:p>
    <w:p w:rsidR="00442867" w:rsidRDefault="00442867" w:rsidP="00442867">
      <w:pPr>
        <w:spacing w:line="360" w:lineRule="auto"/>
        <w:ind w:left="720" w:hanging="720"/>
        <w:jc w:val="both"/>
        <w:rPr>
          <w:rFonts w:ascii="Arial" w:hAnsi="Arial"/>
          <w:noProof w:val="0"/>
          <w:rtl/>
        </w:rPr>
      </w:pPr>
      <w:r>
        <w:rPr>
          <w:rFonts w:ascii="Arial" w:hAnsi="Arial"/>
          <w:noProof w:val="0"/>
          <w:rtl/>
        </w:rPr>
        <w:t>25.</w:t>
      </w:r>
      <w:r>
        <w:rPr>
          <w:rFonts w:ascii="Arial" w:hAnsi="Arial"/>
          <w:noProof w:val="0"/>
          <w:rtl/>
        </w:rPr>
        <w:tab/>
        <w:t>ביחס לשכ"ט בגין טיפול בתביעה לתגמולי אובדן כושר עבודה נגד הפניקס ותביעה לתגמולי נכות כללית נגד  המל"ל – סעיפים 36 – 41 לפסק הדין קמא.</w:t>
      </w:r>
    </w:p>
    <w:p w:rsidR="00442867" w:rsidRDefault="00442867" w:rsidP="00442867">
      <w:pPr>
        <w:spacing w:line="360" w:lineRule="auto"/>
        <w:ind w:left="720" w:hanging="720"/>
        <w:jc w:val="both"/>
        <w:rPr>
          <w:rFonts w:ascii="Arial" w:hAnsi="Arial"/>
          <w:noProof w:val="0"/>
          <w:rtl/>
        </w:rPr>
      </w:pPr>
      <w:r>
        <w:rPr>
          <w:rFonts w:ascii="Arial" w:hAnsi="Arial"/>
          <w:noProof w:val="0"/>
          <w:rtl/>
        </w:rPr>
        <w:tab/>
        <w:t>המשיבה טוענת</w:t>
      </w:r>
      <w:r w:rsidR="0083210F">
        <w:rPr>
          <w:rFonts w:ascii="Arial" w:hAnsi="Arial" w:hint="cs"/>
          <w:noProof w:val="0"/>
          <w:rtl/>
        </w:rPr>
        <w:t>,</w:t>
      </w:r>
      <w:r>
        <w:rPr>
          <w:rFonts w:ascii="Arial" w:hAnsi="Arial"/>
          <w:noProof w:val="0"/>
          <w:rtl/>
        </w:rPr>
        <w:t xml:space="preserve"> כי לפי הסכם שכ"ט משנת 2013 נקבע, כי בגין טיפול בתביעות נגד המל"ל ובגין טיפול בתביעות נגד חברות ביטוח לתגמולים עבור אובדן כושר עבודה, תשלם המשיבה למערערת שכ"ט על בסיס הצלחה בשיעור 18% פלוס מע"מ מהתגמולים שתקבל. במקרה של קצבאות חודשיות יראו את הסכום לשלם חישוב 18% בצרוף מע"מ מסכום הקצבאות במשך 36 חודשים. המשיבה טוענת כי שילמה שכ"ט בשיעור 18% פלוס מע"מ מסכום של 36 הקצבאות החודשיות הראשונות שקיבלה מהמל"ל ומהפניקס. אומנם, המערערת טוענת, כי במרוצת הזמן נכרת בין הצדדים הסכם בעל פה ובהתנהגות לפיו המערערת תמשיך לטפל בשני הנושאים הללו ותהיה זכאית ל-18% פלוס מע"מ גם מסכום הקצבאות החודשיות הנוספות שקיבלה ולכן תבעה סך כולל של 29,752 ₪ בגין טיפול בתביעת נכות כללית נגד המל"ל ו- 44,720 ₪ בגין טיפול בגין אובדן כושר עבודה מול הפניקס. בית המשפט קמא דחה את התביעה לתוספת שכ"ט בנושא הפניקס וקיבל חלקית את התביעה בתוספת שכ"ט בנושא המל"ל – נכות כללית. </w:t>
      </w:r>
    </w:p>
    <w:p w:rsidR="00442867" w:rsidRDefault="00442867" w:rsidP="00442867">
      <w:pPr>
        <w:spacing w:line="360" w:lineRule="auto"/>
        <w:ind w:left="720" w:hanging="720"/>
        <w:jc w:val="both"/>
        <w:rPr>
          <w:rFonts w:ascii="Arial" w:hAnsi="Arial"/>
          <w:noProof w:val="0"/>
          <w:rtl/>
        </w:rPr>
      </w:pPr>
      <w:r>
        <w:rPr>
          <w:rFonts w:ascii="Arial" w:hAnsi="Arial"/>
          <w:noProof w:val="0"/>
          <w:rtl/>
        </w:rPr>
        <w:tab/>
        <w:t>בית המשפט קמא קבע</w:t>
      </w:r>
      <w:r w:rsidR="0083210F">
        <w:rPr>
          <w:rFonts w:ascii="Arial" w:hAnsi="Arial" w:hint="cs"/>
          <w:noProof w:val="0"/>
          <w:rtl/>
        </w:rPr>
        <w:t>,</w:t>
      </w:r>
      <w:r>
        <w:rPr>
          <w:rFonts w:ascii="Arial" w:hAnsi="Arial"/>
          <w:noProof w:val="0"/>
          <w:rtl/>
        </w:rPr>
        <w:t xml:space="preserve"> כי המערערת לא הוכיחה הסכמה של המשיבה לשלם למערערת שכ"ט נוסף מעבר ל- 18% פלוס מע"מ עבור 36 קצבאות חודשיות ראשונות. </w:t>
      </w:r>
    </w:p>
    <w:p w:rsidR="00442867" w:rsidRDefault="00442867" w:rsidP="00442867">
      <w:pPr>
        <w:spacing w:line="360" w:lineRule="auto"/>
        <w:ind w:left="720" w:hanging="720"/>
        <w:jc w:val="both"/>
        <w:rPr>
          <w:rFonts w:ascii="Arial" w:hAnsi="Arial"/>
          <w:noProof w:val="0"/>
          <w:rtl/>
        </w:rPr>
      </w:pPr>
      <w:r>
        <w:rPr>
          <w:rFonts w:ascii="Arial" w:hAnsi="Arial"/>
          <w:noProof w:val="0"/>
          <w:rtl/>
        </w:rPr>
        <w:tab/>
        <w:t xml:space="preserve">אומנם, עקרונית לא שלל בית המשפט קמא שכ"ט ראוי, אך בהקשר זה קבע בית המשפט קמא כי המערערת לא הוכיחה את היקף העבודה בתיק הפניקס שביצעה מעבר למה </w:t>
      </w:r>
      <w:r>
        <w:rPr>
          <w:rFonts w:ascii="Arial" w:hAnsi="Arial"/>
          <w:noProof w:val="0"/>
          <w:rtl/>
        </w:rPr>
        <w:lastRenderedPageBreak/>
        <w:t>שהתחייבה בהסכם 2013, ולפיכך</w:t>
      </w:r>
      <w:r w:rsidR="00ED1BE0">
        <w:rPr>
          <w:rFonts w:ascii="Arial" w:hAnsi="Arial"/>
          <w:noProof w:val="0"/>
          <w:rtl/>
        </w:rPr>
        <w:t xml:space="preserve"> אינה זכאית אף לתוספת שכ"ט ראוי</w:t>
      </w:r>
      <w:r>
        <w:rPr>
          <w:rFonts w:ascii="Arial" w:hAnsi="Arial"/>
          <w:noProof w:val="0"/>
          <w:rtl/>
        </w:rPr>
        <w:t xml:space="preserve"> (ראו סעיף 47 לפסק הדין).</w:t>
      </w:r>
    </w:p>
    <w:p w:rsidR="00442867" w:rsidRDefault="00442867" w:rsidP="00442867">
      <w:pPr>
        <w:spacing w:line="360" w:lineRule="auto"/>
        <w:ind w:left="720" w:hanging="720"/>
        <w:jc w:val="both"/>
        <w:rPr>
          <w:rFonts w:ascii="Arial" w:hAnsi="Arial"/>
          <w:noProof w:val="0"/>
          <w:rtl/>
        </w:rPr>
      </w:pPr>
      <w:r>
        <w:rPr>
          <w:rFonts w:ascii="Arial" w:hAnsi="Arial"/>
          <w:noProof w:val="0"/>
          <w:rtl/>
        </w:rPr>
        <w:tab/>
        <w:t>עם זאת, בכל הנוגע לטיפול בתביעה נגד המל"ל לתגמולי נכות כללית, נקבע בסעיף 48 לפסק הדין</w:t>
      </w:r>
      <w:r w:rsidR="0083210F">
        <w:rPr>
          <w:rFonts w:ascii="Arial" w:hAnsi="Arial" w:hint="cs"/>
          <w:noProof w:val="0"/>
          <w:rtl/>
        </w:rPr>
        <w:t>,</w:t>
      </w:r>
      <w:r>
        <w:rPr>
          <w:rFonts w:ascii="Arial" w:hAnsi="Arial"/>
          <w:noProof w:val="0"/>
          <w:rtl/>
        </w:rPr>
        <w:t xml:space="preserve"> כי לאחר תשלום שכ"ט בגין 36 חודשי קצבה מכוח ההסכם משנת 2013, ביצעה המערערת עבודה משפטית ברכיב הנ"ל. בית המשפט קמא העמיד את השכר הראוי בגין עבודה זו על סך של 4,329 ₪. </w:t>
      </w:r>
    </w:p>
    <w:p w:rsidR="00442867" w:rsidRDefault="00442867" w:rsidP="00442867">
      <w:pPr>
        <w:spacing w:line="360" w:lineRule="auto"/>
        <w:ind w:left="720" w:hanging="720"/>
        <w:jc w:val="both"/>
        <w:rPr>
          <w:rFonts w:ascii="Arial" w:hAnsi="Arial"/>
          <w:noProof w:val="0"/>
          <w:rtl/>
        </w:rPr>
      </w:pPr>
    </w:p>
    <w:p w:rsidR="00442867" w:rsidRDefault="00442867" w:rsidP="00442867">
      <w:pPr>
        <w:spacing w:line="360" w:lineRule="auto"/>
        <w:ind w:left="720" w:hanging="720"/>
        <w:jc w:val="both"/>
        <w:rPr>
          <w:rFonts w:ascii="Arial" w:hAnsi="Arial"/>
          <w:noProof w:val="0"/>
          <w:rtl/>
        </w:rPr>
      </w:pPr>
      <w:r>
        <w:rPr>
          <w:rFonts w:ascii="Arial" w:hAnsi="Arial"/>
          <w:noProof w:val="0"/>
          <w:rtl/>
        </w:rPr>
        <w:t>26.</w:t>
      </w:r>
      <w:r>
        <w:rPr>
          <w:rFonts w:ascii="Arial" w:hAnsi="Arial"/>
          <w:noProof w:val="0"/>
          <w:rtl/>
        </w:rPr>
        <w:tab/>
        <w:t>המשיבה שוללת את עמדת המערערת</w:t>
      </w:r>
      <w:r w:rsidR="0083210F">
        <w:rPr>
          <w:rFonts w:ascii="Arial" w:hAnsi="Arial" w:hint="cs"/>
          <w:noProof w:val="0"/>
          <w:rtl/>
        </w:rPr>
        <w:t>,</w:t>
      </w:r>
      <w:r>
        <w:rPr>
          <w:rFonts w:ascii="Arial" w:hAnsi="Arial"/>
          <w:noProof w:val="0"/>
          <w:rtl/>
        </w:rPr>
        <w:t xml:space="preserve"> אשר סבורה כי שגה בית המשפט קמא כאשר קבע כי לא הוכחה התקשרות בעל פה או בהתנהגות לעניין המשך הטיפול בנושא הפניקס תמורת שכ"ט נוסף בשיעור 18% פלוס מע"מ מהקצבאות ששולמו למשיבה אחרי 36 הקצבאות הראשונות.  המשיבה מציינת כי העדר הסכם שכ"ט בכתב אמור להיזקף לחובתו של עורך הדין.  </w:t>
      </w:r>
    </w:p>
    <w:p w:rsidR="0083210F" w:rsidRDefault="00442867" w:rsidP="00442867">
      <w:pPr>
        <w:spacing w:line="360" w:lineRule="auto"/>
        <w:ind w:left="720" w:hanging="720"/>
        <w:jc w:val="both"/>
        <w:rPr>
          <w:rFonts w:ascii="Arial" w:hAnsi="Arial"/>
          <w:noProof w:val="0"/>
          <w:rtl/>
        </w:rPr>
      </w:pPr>
      <w:r>
        <w:rPr>
          <w:rFonts w:ascii="Arial" w:hAnsi="Arial"/>
          <w:noProof w:val="0"/>
          <w:rtl/>
        </w:rPr>
        <w:tab/>
        <w:t xml:space="preserve">המשיבה סומכת ידה על קביעתו של בית המשפט קמא, כי לא הוכח שהמשיבה הסכימה בעל-פה או בהתנהגות להתקשרות חדשה עם המערערת בדבר תשלום שכ"ט נוסף בגין המשך הטיפול בתיק המל"ל – נכות כללית. </w:t>
      </w:r>
    </w:p>
    <w:p w:rsidR="00442867" w:rsidRDefault="00442867" w:rsidP="0083210F">
      <w:pPr>
        <w:spacing w:line="360" w:lineRule="auto"/>
        <w:ind w:left="720"/>
        <w:jc w:val="both"/>
        <w:rPr>
          <w:rFonts w:ascii="Arial" w:hAnsi="Arial"/>
          <w:noProof w:val="0"/>
          <w:rtl/>
        </w:rPr>
      </w:pPr>
      <w:r>
        <w:rPr>
          <w:rFonts w:ascii="Arial" w:hAnsi="Arial"/>
          <w:noProof w:val="0"/>
          <w:rtl/>
        </w:rPr>
        <w:t xml:space="preserve">בית המשפט קמא דחה טענה זו לאחר שבחן את חומר הראיות שהונח לפניו ואין סיבה להתערב במסקנתו. </w:t>
      </w:r>
    </w:p>
    <w:p w:rsidR="00442867" w:rsidRDefault="00442867" w:rsidP="00442867">
      <w:pPr>
        <w:spacing w:line="360" w:lineRule="auto"/>
        <w:ind w:left="720" w:hanging="720"/>
        <w:jc w:val="both"/>
        <w:rPr>
          <w:rFonts w:ascii="Arial" w:hAnsi="Arial"/>
          <w:noProof w:val="0"/>
          <w:rtl/>
        </w:rPr>
      </w:pPr>
    </w:p>
    <w:p w:rsidR="00442867" w:rsidRDefault="00442867" w:rsidP="00F83488">
      <w:pPr>
        <w:spacing w:line="360" w:lineRule="auto"/>
        <w:ind w:left="720" w:hanging="720"/>
        <w:jc w:val="both"/>
        <w:rPr>
          <w:rFonts w:ascii="Arial" w:hAnsi="Arial"/>
          <w:noProof w:val="0"/>
          <w:rtl/>
        </w:rPr>
      </w:pPr>
      <w:r>
        <w:rPr>
          <w:rFonts w:ascii="Arial" w:hAnsi="Arial"/>
          <w:noProof w:val="0"/>
          <w:rtl/>
        </w:rPr>
        <w:t>27.</w:t>
      </w:r>
      <w:r>
        <w:rPr>
          <w:rFonts w:ascii="Arial" w:hAnsi="Arial"/>
          <w:noProof w:val="0"/>
          <w:rtl/>
        </w:rPr>
        <w:tab/>
        <w:t xml:space="preserve">המשיבה שוללת עוד את טענת המערערת בסעיף 16 להודעת הערעור, </w:t>
      </w:r>
      <w:r w:rsidR="00936EF8">
        <w:rPr>
          <w:rFonts w:ascii="Arial" w:hAnsi="Arial" w:hint="cs"/>
          <w:noProof w:val="0"/>
          <w:rtl/>
        </w:rPr>
        <w:t xml:space="preserve">לפיה </w:t>
      </w:r>
      <w:r>
        <w:rPr>
          <w:rFonts w:ascii="Arial" w:hAnsi="Arial"/>
          <w:noProof w:val="0"/>
          <w:rtl/>
        </w:rPr>
        <w:t>כביכול הערעורים שהגישה בשם המשיבה על ההחלטה הראשונה של המל"ל הוגשו במסגרת חדשה שמקורה בסימן ב' 1 (הגבלת לשום בגין טיפול בתביעה) בפרק י"ד לחוק. בית המשפט דחה טענה זו בהנמקתו בסעיף 40 לפסק הדין, לטענת המערערת היא נכונה ומ</w:t>
      </w:r>
      <w:r w:rsidR="00936EF8">
        <w:rPr>
          <w:rFonts w:ascii="Arial" w:hAnsi="Arial" w:hint="cs"/>
          <w:noProof w:val="0"/>
          <w:rtl/>
        </w:rPr>
        <w:t>ו</w:t>
      </w:r>
      <w:r w:rsidR="004451B7">
        <w:rPr>
          <w:rFonts w:ascii="Arial" w:hAnsi="Arial"/>
          <w:noProof w:val="0"/>
          <w:rtl/>
        </w:rPr>
        <w:t>צדקת ואין מקום להתערב בה</w:t>
      </w:r>
      <w:r>
        <w:rPr>
          <w:rFonts w:ascii="Arial" w:hAnsi="Arial"/>
          <w:noProof w:val="0"/>
          <w:rtl/>
        </w:rPr>
        <w:t>.</w:t>
      </w:r>
    </w:p>
    <w:p w:rsidR="00442867" w:rsidRDefault="00442867" w:rsidP="00442867">
      <w:pPr>
        <w:spacing w:line="360" w:lineRule="auto"/>
        <w:ind w:left="720" w:hanging="720"/>
        <w:jc w:val="both"/>
        <w:rPr>
          <w:rFonts w:ascii="Arial" w:hAnsi="Arial"/>
          <w:noProof w:val="0"/>
          <w:rtl/>
        </w:rPr>
      </w:pPr>
    </w:p>
    <w:p w:rsidR="00442867" w:rsidRDefault="00442867" w:rsidP="00442867">
      <w:pPr>
        <w:spacing w:line="360" w:lineRule="auto"/>
        <w:ind w:left="720" w:hanging="720"/>
        <w:jc w:val="both"/>
        <w:rPr>
          <w:rFonts w:ascii="Arial" w:hAnsi="Arial"/>
          <w:noProof w:val="0"/>
          <w:rtl/>
        </w:rPr>
      </w:pPr>
      <w:r>
        <w:rPr>
          <w:rFonts w:ascii="Arial" w:hAnsi="Arial"/>
          <w:noProof w:val="0"/>
          <w:rtl/>
        </w:rPr>
        <w:t>28.</w:t>
      </w:r>
      <w:r>
        <w:rPr>
          <w:rFonts w:ascii="Arial" w:hAnsi="Arial"/>
          <w:noProof w:val="0"/>
          <w:rtl/>
        </w:rPr>
        <w:tab/>
        <w:t>המשיבה מוסיפה</w:t>
      </w:r>
      <w:r w:rsidR="0083210F">
        <w:rPr>
          <w:rFonts w:ascii="Arial" w:hAnsi="Arial" w:hint="cs"/>
          <w:noProof w:val="0"/>
          <w:rtl/>
        </w:rPr>
        <w:t>,</w:t>
      </w:r>
      <w:r>
        <w:rPr>
          <w:rFonts w:ascii="Arial" w:hAnsi="Arial"/>
          <w:noProof w:val="0"/>
          <w:rtl/>
        </w:rPr>
        <w:t xml:space="preserve"> כי יש לדחות את טענת המערערת כי הסכום שנפסק לה בעילת השכר נמוך מידי ואינו תואם את העבודה שבוצעה לאורך 8 שנים. לשיטתה</w:t>
      </w:r>
      <w:r w:rsidR="00936EF8">
        <w:rPr>
          <w:rFonts w:ascii="Arial" w:hAnsi="Arial" w:hint="cs"/>
          <w:noProof w:val="0"/>
          <w:rtl/>
        </w:rPr>
        <w:t>,</w:t>
      </w:r>
      <w:r>
        <w:rPr>
          <w:rFonts w:ascii="Arial" w:hAnsi="Arial"/>
          <w:noProof w:val="0"/>
          <w:rtl/>
        </w:rPr>
        <w:t xml:space="preserve"> יש לדחות את עמדתה של המערערת בהקשר זה כאשר אינה מבחינה בגין העבודה שבגינה קיבלה תשלום כמתחייב מהסכם שכ"ט של שנת 2013 לבין העבודה העודפת לטענתה. </w:t>
      </w:r>
    </w:p>
    <w:p w:rsidR="00442867" w:rsidRDefault="00442867" w:rsidP="00442867">
      <w:pPr>
        <w:spacing w:line="360" w:lineRule="auto"/>
        <w:ind w:left="720" w:hanging="720"/>
        <w:jc w:val="both"/>
        <w:rPr>
          <w:rFonts w:ascii="Arial" w:hAnsi="Arial"/>
          <w:noProof w:val="0"/>
          <w:rtl/>
        </w:rPr>
      </w:pPr>
    </w:p>
    <w:p w:rsidR="00442867" w:rsidRDefault="00442867" w:rsidP="0083210F">
      <w:pPr>
        <w:spacing w:line="360" w:lineRule="auto"/>
        <w:ind w:left="720" w:hanging="720"/>
        <w:jc w:val="both"/>
        <w:rPr>
          <w:rFonts w:ascii="Arial" w:hAnsi="Arial"/>
          <w:noProof w:val="0"/>
          <w:rtl/>
        </w:rPr>
      </w:pPr>
      <w:r>
        <w:rPr>
          <w:rFonts w:ascii="Arial" w:hAnsi="Arial"/>
          <w:noProof w:val="0"/>
          <w:rtl/>
        </w:rPr>
        <w:t>29.</w:t>
      </w:r>
      <w:r>
        <w:rPr>
          <w:rFonts w:ascii="Arial" w:hAnsi="Arial"/>
          <w:noProof w:val="0"/>
          <w:rtl/>
        </w:rPr>
        <w:tab/>
        <w:t>המ</w:t>
      </w:r>
      <w:r w:rsidR="0083210F">
        <w:rPr>
          <w:rFonts w:ascii="Arial" w:hAnsi="Arial" w:hint="cs"/>
          <w:noProof w:val="0"/>
          <w:rtl/>
        </w:rPr>
        <w:t>שיבה</w:t>
      </w:r>
      <w:r>
        <w:rPr>
          <w:rFonts w:ascii="Arial" w:hAnsi="Arial"/>
          <w:noProof w:val="0"/>
          <w:rtl/>
        </w:rPr>
        <w:t xml:space="preserve"> חותמת את </w:t>
      </w:r>
      <w:r w:rsidR="0083210F">
        <w:rPr>
          <w:rFonts w:ascii="Arial" w:hAnsi="Arial" w:hint="cs"/>
          <w:noProof w:val="0"/>
          <w:rtl/>
        </w:rPr>
        <w:t>תשובתה לערעור הראשי,</w:t>
      </w:r>
      <w:r>
        <w:rPr>
          <w:rFonts w:ascii="Arial" w:hAnsi="Arial"/>
          <w:noProof w:val="0"/>
          <w:rtl/>
        </w:rPr>
        <w:t xml:space="preserve"> באמירה כי כאשר בית המשפט קמא פסק למערערת שכר ראוי בגין הטיפול בתביעה בגין הנכות הכללית במל"ל הוא שגה לטובת המערערת. אין </w:t>
      </w:r>
      <w:r w:rsidR="00936EF8">
        <w:rPr>
          <w:rFonts w:ascii="Arial" w:hAnsi="Arial" w:hint="cs"/>
          <w:noProof w:val="0"/>
          <w:rtl/>
        </w:rPr>
        <w:t xml:space="preserve">לטענתה </w:t>
      </w:r>
      <w:r>
        <w:rPr>
          <w:rFonts w:ascii="Arial" w:hAnsi="Arial"/>
          <w:noProof w:val="0"/>
          <w:rtl/>
        </w:rPr>
        <w:t>לפסוק שכ"ט בגין טיפול בתביעות נגד המל"ל מבלי שנחתם הסכם שכ"ט מפורט. אין לראו</w:t>
      </w:r>
      <w:r w:rsidR="0083210F">
        <w:rPr>
          <w:rFonts w:ascii="Arial" w:hAnsi="Arial"/>
          <w:noProof w:val="0"/>
          <w:rtl/>
        </w:rPr>
        <w:t xml:space="preserve">ת את הטיפול </w:t>
      </w:r>
      <w:r w:rsidR="0083210F">
        <w:rPr>
          <w:rFonts w:ascii="Arial" w:hAnsi="Arial" w:hint="cs"/>
          <w:noProof w:val="0"/>
          <w:rtl/>
        </w:rPr>
        <w:t>ש</w:t>
      </w:r>
      <w:r>
        <w:rPr>
          <w:rFonts w:ascii="Arial" w:hAnsi="Arial"/>
          <w:noProof w:val="0"/>
          <w:rtl/>
        </w:rPr>
        <w:t xml:space="preserve">העניקה המערערת למשיבה בתקופה שלאחר תום </w:t>
      </w:r>
      <w:r>
        <w:rPr>
          <w:rFonts w:ascii="Arial" w:hAnsi="Arial"/>
          <w:noProof w:val="0"/>
          <w:rtl/>
        </w:rPr>
        <w:lastRenderedPageBreak/>
        <w:t>36 חודשים כטיפול מחוץ למסגרת ההסכם</w:t>
      </w:r>
      <w:r w:rsidR="0083210F">
        <w:rPr>
          <w:rFonts w:ascii="Arial" w:hAnsi="Arial" w:hint="cs"/>
          <w:noProof w:val="0"/>
          <w:rtl/>
        </w:rPr>
        <w:t>,</w:t>
      </w:r>
      <w:r>
        <w:rPr>
          <w:rFonts w:ascii="Arial" w:hAnsi="Arial"/>
          <w:noProof w:val="0"/>
          <w:rtl/>
        </w:rPr>
        <w:t xml:space="preserve"> שניתן לפסוק במסגרתו שכ"ט ראוי, מה גם ששכ</w:t>
      </w:r>
      <w:r w:rsidR="00936EF8">
        <w:rPr>
          <w:rFonts w:ascii="Arial" w:hAnsi="Arial"/>
          <w:noProof w:val="0"/>
          <w:rtl/>
        </w:rPr>
        <w:t>"ט ראוי בגין האמור כלל לא נתבע.</w:t>
      </w:r>
      <w:r>
        <w:rPr>
          <w:rFonts w:ascii="Arial" w:hAnsi="Arial"/>
          <w:noProof w:val="0"/>
          <w:rtl/>
        </w:rPr>
        <w:t xml:space="preserve"> בגין כל הנ"ל אף הגישה המשיבה ערעור משיב. </w:t>
      </w:r>
    </w:p>
    <w:p w:rsidR="00442867" w:rsidRDefault="00442867" w:rsidP="00442867">
      <w:pPr>
        <w:spacing w:line="360" w:lineRule="auto"/>
        <w:ind w:left="720" w:hanging="720"/>
        <w:jc w:val="both"/>
        <w:rPr>
          <w:rFonts w:ascii="Arial" w:hAnsi="Arial"/>
          <w:b/>
          <w:bCs/>
          <w:noProof w:val="0"/>
          <w:sz w:val="26"/>
          <w:szCs w:val="26"/>
          <w:u w:val="single"/>
          <w:rtl/>
        </w:rPr>
      </w:pPr>
    </w:p>
    <w:p w:rsidR="00442867" w:rsidRDefault="00442867" w:rsidP="00442867">
      <w:pPr>
        <w:spacing w:line="360" w:lineRule="auto"/>
        <w:ind w:left="720" w:hanging="720"/>
        <w:jc w:val="both"/>
        <w:rPr>
          <w:rFonts w:ascii="Arial" w:hAnsi="Arial"/>
          <w:b/>
          <w:bCs/>
          <w:noProof w:val="0"/>
          <w:sz w:val="26"/>
          <w:szCs w:val="26"/>
          <w:u w:val="single"/>
          <w:rtl/>
        </w:rPr>
      </w:pPr>
      <w:r>
        <w:rPr>
          <w:rFonts w:ascii="Arial" w:hAnsi="Arial"/>
          <w:b/>
          <w:bCs/>
          <w:noProof w:val="0"/>
          <w:sz w:val="26"/>
          <w:szCs w:val="26"/>
          <w:u w:val="single"/>
          <w:rtl/>
        </w:rPr>
        <w:t xml:space="preserve">ערעור </w:t>
      </w:r>
      <w:r w:rsidR="00EC43E7">
        <w:rPr>
          <w:rFonts w:ascii="Arial" w:hAnsi="Arial" w:hint="cs"/>
          <w:b/>
          <w:bCs/>
          <w:noProof w:val="0"/>
          <w:sz w:val="26"/>
          <w:szCs w:val="26"/>
          <w:u w:val="single"/>
          <w:rtl/>
        </w:rPr>
        <w:t>ה</w:t>
      </w:r>
      <w:r>
        <w:rPr>
          <w:rFonts w:ascii="Arial" w:hAnsi="Arial"/>
          <w:b/>
          <w:bCs/>
          <w:noProof w:val="0"/>
          <w:sz w:val="26"/>
          <w:szCs w:val="26"/>
          <w:u w:val="single"/>
          <w:rtl/>
        </w:rPr>
        <w:t>משיב</w:t>
      </w:r>
      <w:r w:rsidR="00EC43E7">
        <w:rPr>
          <w:rFonts w:ascii="Arial" w:hAnsi="Arial" w:hint="cs"/>
          <w:b/>
          <w:bCs/>
          <w:noProof w:val="0"/>
          <w:sz w:val="26"/>
          <w:szCs w:val="26"/>
          <w:u w:val="single"/>
          <w:rtl/>
        </w:rPr>
        <w:t>ה</w:t>
      </w:r>
      <w:r>
        <w:rPr>
          <w:rFonts w:ascii="Arial" w:hAnsi="Arial"/>
          <w:b/>
          <w:bCs/>
          <w:noProof w:val="0"/>
          <w:sz w:val="26"/>
          <w:szCs w:val="26"/>
          <w:u w:val="single"/>
          <w:rtl/>
        </w:rPr>
        <w:t>:</w:t>
      </w:r>
    </w:p>
    <w:p w:rsidR="00442867" w:rsidRDefault="00442867" w:rsidP="00442867">
      <w:pPr>
        <w:spacing w:line="360" w:lineRule="auto"/>
        <w:ind w:left="720" w:hanging="720"/>
        <w:jc w:val="both"/>
        <w:rPr>
          <w:rFonts w:ascii="Arial" w:hAnsi="Arial"/>
          <w:b/>
          <w:bCs/>
          <w:noProof w:val="0"/>
          <w:sz w:val="26"/>
          <w:szCs w:val="26"/>
          <w:u w:val="single"/>
          <w:rtl/>
        </w:rPr>
      </w:pPr>
    </w:p>
    <w:p w:rsidR="00442867" w:rsidRDefault="00442867" w:rsidP="00442867">
      <w:pPr>
        <w:spacing w:before="240" w:line="360" w:lineRule="auto"/>
        <w:ind w:left="720" w:hanging="720"/>
        <w:jc w:val="both"/>
        <w:rPr>
          <w:rFonts w:ascii="Arial" w:hAnsi="Arial"/>
          <w:noProof w:val="0"/>
          <w:rtl/>
        </w:rPr>
      </w:pPr>
      <w:r>
        <w:rPr>
          <w:rFonts w:ascii="Arial" w:hAnsi="Arial"/>
          <w:noProof w:val="0"/>
          <w:rtl/>
        </w:rPr>
        <w:t>30.</w:t>
      </w:r>
      <w:r>
        <w:rPr>
          <w:rFonts w:ascii="Arial" w:hAnsi="Arial"/>
          <w:noProof w:val="0"/>
          <w:rtl/>
        </w:rPr>
        <w:tab/>
        <w:t xml:space="preserve">הטענות אשר שימשו תשתית לטענותיה של המשיבה בתשובה לערעור הראשי, משמשות תשתית גם לערעור שכנגד. </w:t>
      </w:r>
    </w:p>
    <w:p w:rsidR="00442867" w:rsidRDefault="00442867" w:rsidP="00442867">
      <w:pPr>
        <w:spacing w:before="240" w:line="360" w:lineRule="auto"/>
        <w:ind w:left="720" w:hanging="720"/>
        <w:jc w:val="both"/>
        <w:rPr>
          <w:rFonts w:ascii="Arial" w:hAnsi="Arial"/>
          <w:noProof w:val="0"/>
          <w:rtl/>
        </w:rPr>
      </w:pPr>
      <w:r>
        <w:rPr>
          <w:rFonts w:ascii="Arial" w:hAnsi="Arial"/>
          <w:noProof w:val="0"/>
          <w:rtl/>
        </w:rPr>
        <w:tab/>
        <w:t xml:space="preserve">המשיבה סבורה, כי לא היה מקום לדון בתביעה לשכר ראוי בנושא טיפול המערערת בתביעה לתגמולי נכות כללית מהמוסד לביטוח לאומי לאחר שנסתיימה תקופת 36 חודשים שנקבעה בהסכם 2013.  עוד היא טוענת, כי לא היה מקום לדון כלל בתביעה לתוספת שכ"ט בנושא הפניקס.  כזכור, בית המשפט קמא דחה את התביעה לתוספת שכ"ט בנושא הפניקס וקיבל חלקית את התביעה לתוספת שכ"ט בנושא המל"ל נכות כללית. על תביעה זו בנושא הנכות הכללית מלינה המערערת. </w:t>
      </w:r>
    </w:p>
    <w:p w:rsidR="00442867" w:rsidRDefault="00442867" w:rsidP="00442867">
      <w:pPr>
        <w:spacing w:line="360" w:lineRule="auto"/>
        <w:jc w:val="both"/>
        <w:rPr>
          <w:rFonts w:ascii="Arial" w:hAnsi="Arial"/>
          <w:noProof w:val="0"/>
          <w:rtl/>
        </w:rPr>
      </w:pPr>
    </w:p>
    <w:p w:rsidR="00442867" w:rsidRDefault="00442867" w:rsidP="00442867">
      <w:pPr>
        <w:spacing w:line="360" w:lineRule="auto"/>
        <w:ind w:left="720" w:hanging="720"/>
        <w:jc w:val="both"/>
        <w:rPr>
          <w:rFonts w:ascii="Arial" w:hAnsi="Arial"/>
          <w:noProof w:val="0"/>
          <w:rtl/>
        </w:rPr>
      </w:pPr>
      <w:r>
        <w:rPr>
          <w:rFonts w:ascii="Arial" w:hAnsi="Arial"/>
          <w:noProof w:val="0"/>
          <w:rtl/>
        </w:rPr>
        <w:t>31.</w:t>
      </w:r>
      <w:r>
        <w:rPr>
          <w:rFonts w:ascii="Arial" w:hAnsi="Arial"/>
          <w:noProof w:val="0"/>
          <w:rtl/>
        </w:rPr>
        <w:tab/>
        <w:t>לטענתה, תקופת הסכם 2013 לא הסתיימה אחרי שהמשיבה קיבלה 36 קצבאות חודשיות ראשונות</w:t>
      </w:r>
      <w:r w:rsidR="0083210F">
        <w:rPr>
          <w:rFonts w:ascii="Arial" w:hAnsi="Arial" w:hint="cs"/>
          <w:noProof w:val="0"/>
          <w:rtl/>
        </w:rPr>
        <w:t>,</w:t>
      </w:r>
      <w:r>
        <w:rPr>
          <w:rFonts w:ascii="Arial" w:hAnsi="Arial"/>
          <w:noProof w:val="0"/>
          <w:rtl/>
        </w:rPr>
        <w:t xml:space="preserve"> ולא היה מקום לפסוק למערערת תוספת שכ"ט ראוי בכל הנוגע לטיפול שנעשה בתביעה כנגד המל"ל לתגמולי נכות כללית לאחר התקופה הנ"ל. לפיכך</w:t>
      </w:r>
      <w:r w:rsidR="00EC43E7">
        <w:rPr>
          <w:rFonts w:ascii="Arial" w:hAnsi="Arial" w:hint="cs"/>
          <w:noProof w:val="0"/>
          <w:rtl/>
        </w:rPr>
        <w:t>,</w:t>
      </w:r>
      <w:r>
        <w:rPr>
          <w:rFonts w:ascii="Arial" w:hAnsi="Arial"/>
          <w:noProof w:val="0"/>
          <w:rtl/>
        </w:rPr>
        <w:t xml:space="preserve"> לא היה מקום לפסוק שכר ראוי בשיעור של 4,329 ₪. כלל לא היה מקום לדון בתביעה לשכר ראוי ובוודאי שלא היה מקום לקבל אפילו חלקית את התביעה לתוספת שכר ראוי שכזה. </w:t>
      </w:r>
    </w:p>
    <w:p w:rsidR="00442867" w:rsidRDefault="00442867" w:rsidP="00442867">
      <w:pPr>
        <w:spacing w:line="360" w:lineRule="auto"/>
        <w:ind w:left="720" w:hanging="720"/>
        <w:jc w:val="both"/>
        <w:rPr>
          <w:rFonts w:ascii="Arial" w:hAnsi="Arial"/>
          <w:noProof w:val="0"/>
          <w:rtl/>
        </w:rPr>
      </w:pPr>
    </w:p>
    <w:p w:rsidR="00442867" w:rsidRDefault="00442867" w:rsidP="00EC43E7">
      <w:pPr>
        <w:spacing w:line="360" w:lineRule="auto"/>
        <w:ind w:left="720" w:hanging="720"/>
        <w:jc w:val="both"/>
        <w:rPr>
          <w:rFonts w:ascii="Arial" w:hAnsi="Arial"/>
          <w:noProof w:val="0"/>
          <w:rtl/>
        </w:rPr>
      </w:pPr>
      <w:r>
        <w:rPr>
          <w:rFonts w:ascii="Arial" w:hAnsi="Arial"/>
          <w:noProof w:val="0"/>
          <w:rtl/>
        </w:rPr>
        <w:t>32.</w:t>
      </w:r>
      <w:r>
        <w:rPr>
          <w:rFonts w:ascii="Arial" w:hAnsi="Arial"/>
          <w:noProof w:val="0"/>
          <w:rtl/>
        </w:rPr>
        <w:tab/>
        <w:t>היא מדגישה</w:t>
      </w:r>
      <w:r w:rsidR="00EC43E7">
        <w:rPr>
          <w:rFonts w:ascii="Arial" w:hAnsi="Arial"/>
          <w:noProof w:val="0"/>
          <w:rtl/>
        </w:rPr>
        <w:t>, כי בהתאם לסעיף 315ז' (א) לחוק</w:t>
      </w:r>
      <w:r w:rsidR="00EC43E7">
        <w:rPr>
          <w:rFonts w:ascii="Arial" w:hAnsi="Arial" w:hint="cs"/>
          <w:noProof w:val="0"/>
          <w:rtl/>
        </w:rPr>
        <w:t xml:space="preserve">, </w:t>
      </w:r>
      <w:r>
        <w:rPr>
          <w:rFonts w:ascii="Arial" w:hAnsi="Arial"/>
          <w:noProof w:val="0"/>
          <w:rtl/>
        </w:rPr>
        <w:t>במסגרת תיקון 161 משנת 2015 שנכנס לתוקף ביום 6.1</w:t>
      </w:r>
      <w:r w:rsidR="0083210F">
        <w:rPr>
          <w:rFonts w:ascii="Arial" w:hAnsi="Arial" w:hint="cs"/>
          <w:noProof w:val="0"/>
          <w:rtl/>
        </w:rPr>
        <w:t>2</w:t>
      </w:r>
      <w:r>
        <w:rPr>
          <w:rFonts w:ascii="Arial" w:hAnsi="Arial"/>
          <w:noProof w:val="0"/>
          <w:rtl/>
        </w:rPr>
        <w:t xml:space="preserve">.2015, לפני תום 36 החודשים הראשונים שבהם קיבלה המשיבה קצבאות מהמל"ל, הרי </w:t>
      </w:r>
      <w:r w:rsidR="00EC43E7">
        <w:rPr>
          <w:rFonts w:ascii="Arial" w:hAnsi="Arial" w:hint="cs"/>
          <w:noProof w:val="0"/>
          <w:rtl/>
        </w:rPr>
        <w:t>ש</w:t>
      </w:r>
      <w:r>
        <w:rPr>
          <w:rFonts w:ascii="Arial" w:hAnsi="Arial"/>
          <w:noProof w:val="0"/>
          <w:rtl/>
        </w:rPr>
        <w:t>אין תוקף להסכמות בעל פה או בהתנהגות בנושא שכ"ט בגין הטיפול בתביעות כנגד המל"ל. הואיל וקיים מקור חוקי</w:t>
      </w:r>
      <w:r w:rsidR="008504E9">
        <w:rPr>
          <w:rFonts w:ascii="Arial" w:hAnsi="Arial"/>
          <w:noProof w:val="0"/>
          <w:rtl/>
        </w:rPr>
        <w:t xml:space="preserve"> אשר שולל שכ"ט ראוי בנסיבות אלה</w:t>
      </w:r>
      <w:r>
        <w:rPr>
          <w:rFonts w:ascii="Arial" w:hAnsi="Arial"/>
          <w:noProof w:val="0"/>
          <w:rtl/>
        </w:rPr>
        <w:t xml:space="preserve"> </w:t>
      </w:r>
      <w:r w:rsidR="008504E9">
        <w:rPr>
          <w:rFonts w:ascii="Arial" w:hAnsi="Arial" w:hint="cs"/>
          <w:noProof w:val="0"/>
          <w:rtl/>
        </w:rPr>
        <w:t xml:space="preserve">לטענתה, </w:t>
      </w:r>
      <w:r>
        <w:rPr>
          <w:rFonts w:ascii="Arial" w:hAnsi="Arial"/>
          <w:noProof w:val="0"/>
          <w:rtl/>
        </w:rPr>
        <w:t xml:space="preserve">לא היה מקום להחיל כאן את דיני עשיית עושר שלא במשפט ולפסוק שכ"ט ראוי.  </w:t>
      </w:r>
    </w:p>
    <w:p w:rsidR="00442867" w:rsidRDefault="00442867" w:rsidP="00442867">
      <w:pPr>
        <w:spacing w:line="360" w:lineRule="auto"/>
        <w:jc w:val="both"/>
        <w:rPr>
          <w:rFonts w:ascii="Arial" w:hAnsi="Arial"/>
          <w:noProof w:val="0"/>
          <w:rtl/>
        </w:rPr>
      </w:pPr>
    </w:p>
    <w:p w:rsidR="00442867" w:rsidRDefault="00442867" w:rsidP="00442867">
      <w:pPr>
        <w:spacing w:line="360" w:lineRule="auto"/>
        <w:ind w:left="720" w:hanging="720"/>
        <w:jc w:val="both"/>
        <w:rPr>
          <w:rFonts w:ascii="Arial" w:hAnsi="Arial"/>
          <w:noProof w:val="0"/>
          <w:rtl/>
        </w:rPr>
      </w:pPr>
      <w:r>
        <w:rPr>
          <w:rFonts w:ascii="Arial" w:hAnsi="Arial"/>
          <w:noProof w:val="0"/>
          <w:rtl/>
        </w:rPr>
        <w:t>33.</w:t>
      </w:r>
      <w:r>
        <w:rPr>
          <w:rFonts w:ascii="Arial" w:hAnsi="Arial"/>
          <w:noProof w:val="0"/>
          <w:rtl/>
        </w:rPr>
        <w:tab/>
        <w:t>עוד טוענת המשיבה, כי לא היה מקום לפסוק למערערת שכ"ט בגין טיפול בתביעה נגד המל"ל לתגמולי מחלת מקצוע בשיעור של 2,197 ₪ (סעיפים 54 – 57 לפסק הדין קמא).</w:t>
      </w:r>
    </w:p>
    <w:p w:rsidR="00442867" w:rsidRDefault="00442867" w:rsidP="00442867">
      <w:pPr>
        <w:spacing w:line="360" w:lineRule="auto"/>
        <w:ind w:left="720" w:hanging="720"/>
        <w:jc w:val="both"/>
        <w:rPr>
          <w:rFonts w:ascii="Arial" w:hAnsi="Arial"/>
          <w:noProof w:val="0"/>
          <w:rtl/>
        </w:rPr>
      </w:pPr>
      <w:r>
        <w:rPr>
          <w:rFonts w:ascii="Arial" w:hAnsi="Arial"/>
          <w:noProof w:val="0"/>
          <w:rtl/>
        </w:rPr>
        <w:tab/>
        <w:t>המשיבה שבה וטוענת</w:t>
      </w:r>
      <w:r w:rsidR="008504E9">
        <w:rPr>
          <w:rFonts w:ascii="Arial" w:hAnsi="Arial"/>
          <w:noProof w:val="0"/>
          <w:rtl/>
        </w:rPr>
        <w:t>, כי לא היה בסיס לקביעתו של בית</w:t>
      </w:r>
      <w:r>
        <w:rPr>
          <w:rFonts w:ascii="Arial" w:hAnsi="Arial"/>
          <w:noProof w:val="0"/>
          <w:rtl/>
        </w:rPr>
        <w:t xml:space="preserve"> המשפט קמא</w:t>
      </w:r>
      <w:r w:rsidR="008504E9">
        <w:rPr>
          <w:rFonts w:ascii="Arial" w:hAnsi="Arial" w:hint="cs"/>
          <w:noProof w:val="0"/>
          <w:rtl/>
        </w:rPr>
        <w:t>,</w:t>
      </w:r>
      <w:r>
        <w:rPr>
          <w:rFonts w:ascii="Arial" w:hAnsi="Arial"/>
          <w:noProof w:val="0"/>
          <w:rtl/>
        </w:rPr>
        <w:t xml:space="preserve"> כאילו הסכם 2013 הסתיים אחרי שהמשיבה קיבלה 36 קצבאות חודשיות ולפיכך לא היה מקום להיזקק להוראות הסכם 2017 כבסיס לחיובי המערערת בגין פעולות בין השנים 2017 או 2018. </w:t>
      </w:r>
    </w:p>
    <w:p w:rsidR="00442867" w:rsidRDefault="00442867" w:rsidP="00442867">
      <w:pPr>
        <w:spacing w:line="360" w:lineRule="auto"/>
        <w:ind w:left="720" w:hanging="720"/>
        <w:jc w:val="both"/>
        <w:rPr>
          <w:rFonts w:ascii="Arial" w:hAnsi="Arial"/>
          <w:noProof w:val="0"/>
          <w:rtl/>
        </w:rPr>
      </w:pPr>
      <w:r>
        <w:rPr>
          <w:rFonts w:ascii="Arial" w:hAnsi="Arial"/>
          <w:noProof w:val="0"/>
          <w:rtl/>
        </w:rPr>
        <w:lastRenderedPageBreak/>
        <w:tab/>
        <w:t xml:space="preserve">עוד מצביעה המשיבה על טעות אריתמטית של בית המשפט כאשר בית המשפט הוסיף מע"מ ולכן פסק 319 ₪ מעבר לסכום שנתבע. </w:t>
      </w:r>
    </w:p>
    <w:p w:rsidR="00442867" w:rsidRDefault="00442867" w:rsidP="00442867">
      <w:pPr>
        <w:spacing w:line="360" w:lineRule="auto"/>
        <w:ind w:left="720" w:hanging="720"/>
        <w:jc w:val="both"/>
        <w:rPr>
          <w:rFonts w:ascii="Arial" w:hAnsi="Arial"/>
          <w:noProof w:val="0"/>
          <w:rtl/>
        </w:rPr>
      </w:pPr>
    </w:p>
    <w:p w:rsidR="00442867" w:rsidRDefault="00442867" w:rsidP="00442867">
      <w:pPr>
        <w:spacing w:line="360" w:lineRule="auto"/>
        <w:ind w:left="720" w:hanging="720"/>
        <w:jc w:val="both"/>
        <w:rPr>
          <w:rFonts w:ascii="Arial" w:hAnsi="Arial"/>
          <w:noProof w:val="0"/>
          <w:rtl/>
        </w:rPr>
      </w:pPr>
      <w:r>
        <w:rPr>
          <w:rFonts w:ascii="Arial" w:hAnsi="Arial"/>
          <w:noProof w:val="0"/>
          <w:rtl/>
        </w:rPr>
        <w:t>34.</w:t>
      </w:r>
      <w:r>
        <w:rPr>
          <w:rFonts w:ascii="Arial" w:hAnsi="Arial"/>
          <w:noProof w:val="0"/>
          <w:rtl/>
        </w:rPr>
        <w:tab/>
        <w:t xml:space="preserve">אלה הטענות בערעור המשיב. </w:t>
      </w:r>
    </w:p>
    <w:p w:rsidR="00442867" w:rsidRDefault="00442867" w:rsidP="00442867">
      <w:pPr>
        <w:spacing w:line="360" w:lineRule="auto"/>
        <w:ind w:left="720" w:hanging="720"/>
        <w:jc w:val="both"/>
        <w:rPr>
          <w:rFonts w:ascii="Arial" w:hAnsi="Arial"/>
          <w:noProof w:val="0"/>
          <w:rtl/>
        </w:rPr>
      </w:pPr>
    </w:p>
    <w:p w:rsidR="00442867" w:rsidRDefault="00442867" w:rsidP="008504E9">
      <w:pPr>
        <w:spacing w:line="360" w:lineRule="auto"/>
        <w:ind w:left="720" w:hanging="720"/>
        <w:jc w:val="both"/>
        <w:rPr>
          <w:rFonts w:ascii="Arial" w:hAnsi="Arial"/>
          <w:b/>
          <w:bCs/>
          <w:noProof w:val="0"/>
          <w:sz w:val="26"/>
          <w:szCs w:val="26"/>
          <w:u w:val="single"/>
          <w:rtl/>
        </w:rPr>
      </w:pPr>
      <w:r>
        <w:rPr>
          <w:rFonts w:ascii="Arial" w:hAnsi="Arial"/>
          <w:b/>
          <w:bCs/>
          <w:noProof w:val="0"/>
          <w:sz w:val="26"/>
          <w:szCs w:val="26"/>
          <w:u w:val="single"/>
          <w:rtl/>
        </w:rPr>
        <w:t>התשובה לערעור המשיב:</w:t>
      </w:r>
    </w:p>
    <w:p w:rsidR="00EC43E7" w:rsidRDefault="00EC43E7" w:rsidP="008504E9">
      <w:pPr>
        <w:spacing w:line="360" w:lineRule="auto"/>
        <w:ind w:left="720" w:hanging="720"/>
        <w:jc w:val="both"/>
        <w:rPr>
          <w:rFonts w:ascii="Arial" w:hAnsi="Arial"/>
          <w:b/>
          <w:bCs/>
          <w:noProof w:val="0"/>
          <w:sz w:val="26"/>
          <w:szCs w:val="26"/>
          <w:u w:val="single"/>
          <w:rtl/>
        </w:rPr>
      </w:pPr>
    </w:p>
    <w:p w:rsidR="00442867" w:rsidRDefault="00442867" w:rsidP="00AA3915">
      <w:pPr>
        <w:spacing w:line="360" w:lineRule="auto"/>
        <w:ind w:left="720" w:hanging="720"/>
        <w:jc w:val="both"/>
        <w:rPr>
          <w:rFonts w:ascii="Arial" w:hAnsi="Arial"/>
          <w:noProof w:val="0"/>
          <w:rtl/>
        </w:rPr>
      </w:pPr>
      <w:r>
        <w:rPr>
          <w:rFonts w:ascii="Arial" w:hAnsi="Arial"/>
          <w:noProof w:val="0"/>
          <w:rtl/>
        </w:rPr>
        <w:t>35.</w:t>
      </w:r>
      <w:r>
        <w:rPr>
          <w:rFonts w:ascii="Arial" w:hAnsi="Arial"/>
          <w:noProof w:val="0"/>
          <w:rtl/>
        </w:rPr>
        <w:tab/>
        <w:t xml:space="preserve">המערערת, המשיבה </w:t>
      </w:r>
      <w:r w:rsidR="00AA3915">
        <w:rPr>
          <w:rFonts w:ascii="Arial" w:hAnsi="Arial" w:hint="cs"/>
          <w:noProof w:val="0"/>
          <w:rtl/>
        </w:rPr>
        <w:t>לערעור המשיבה</w:t>
      </w:r>
      <w:r>
        <w:rPr>
          <w:rFonts w:ascii="Arial" w:hAnsi="Arial"/>
          <w:noProof w:val="0"/>
          <w:rtl/>
        </w:rPr>
        <w:t>, שבה וגרסה כי ייצגה את המשיבה במסירות אין קץ לאורך השנים</w:t>
      </w:r>
      <w:r w:rsidR="00AA3915">
        <w:rPr>
          <w:rFonts w:ascii="Arial" w:hAnsi="Arial" w:hint="cs"/>
          <w:noProof w:val="0"/>
          <w:rtl/>
        </w:rPr>
        <w:t>, כאשר</w:t>
      </w:r>
      <w:r w:rsidR="00AA3915">
        <w:rPr>
          <w:rFonts w:ascii="Arial" w:hAnsi="Arial"/>
          <w:noProof w:val="0"/>
          <w:rtl/>
        </w:rPr>
        <w:t xml:space="preserve"> </w:t>
      </w:r>
      <w:r>
        <w:rPr>
          <w:rFonts w:ascii="Arial" w:hAnsi="Arial"/>
          <w:noProof w:val="0"/>
          <w:rtl/>
        </w:rPr>
        <w:t>משנת 2013 ועד שנת 2020 וטיפלה עבורה בתשעה תיקים שונים. לצערה, טעתה לחשוב כי נוצרו בינה לבין המשיבה יחסי אמון. המערערת חוזרת גם במסגרת התשובה לערעור המשיב</w:t>
      </w:r>
      <w:r w:rsidR="00AA3915">
        <w:rPr>
          <w:rFonts w:ascii="Arial" w:hAnsi="Arial" w:hint="cs"/>
          <w:noProof w:val="0"/>
          <w:rtl/>
        </w:rPr>
        <w:t>ה</w:t>
      </w:r>
      <w:r>
        <w:rPr>
          <w:rFonts w:ascii="Arial" w:hAnsi="Arial"/>
          <w:noProof w:val="0"/>
          <w:rtl/>
        </w:rPr>
        <w:t xml:space="preserve"> על טענתה, כי שגה בית המשפט קמא כאשר קבע כי המערערת לא הוכיחה שהמשיבה הסכימה לשלם לה שכ"ט כאחוז מהקצבאות שקיבלה מהפניקס או מהמל"ל בגין קצבת נכות כללית מעבר ל- 36 הקצבאות הראשונות. </w:t>
      </w:r>
    </w:p>
    <w:p w:rsidR="00442867" w:rsidRDefault="00442867" w:rsidP="008504E9">
      <w:pPr>
        <w:spacing w:line="360" w:lineRule="auto"/>
        <w:ind w:left="720" w:hanging="720"/>
        <w:jc w:val="both"/>
        <w:rPr>
          <w:rFonts w:ascii="Arial" w:hAnsi="Arial"/>
          <w:noProof w:val="0"/>
          <w:rtl/>
        </w:rPr>
      </w:pPr>
      <w:r>
        <w:rPr>
          <w:rFonts w:ascii="Arial" w:hAnsi="Arial"/>
          <w:noProof w:val="0"/>
          <w:rtl/>
        </w:rPr>
        <w:tab/>
        <w:t xml:space="preserve">המערערת מדגישה, כי הקצבאות החודשיות הגבוהות אותן זכתה לקבל המשיבה </w:t>
      </w:r>
      <w:r w:rsidR="008504E9">
        <w:rPr>
          <w:rFonts w:ascii="Arial" w:hAnsi="Arial" w:hint="cs"/>
          <w:noProof w:val="0"/>
          <w:rtl/>
        </w:rPr>
        <w:t xml:space="preserve">מדי </w:t>
      </w:r>
      <w:r>
        <w:rPr>
          <w:rFonts w:ascii="Arial" w:hAnsi="Arial"/>
          <w:noProof w:val="0"/>
          <w:rtl/>
        </w:rPr>
        <w:t>חודש</w:t>
      </w:r>
      <w:r w:rsidR="008504E9">
        <w:rPr>
          <w:rFonts w:ascii="Arial" w:hAnsi="Arial" w:hint="cs"/>
          <w:noProof w:val="0"/>
          <w:rtl/>
        </w:rPr>
        <w:t>,</w:t>
      </w:r>
      <w:r>
        <w:rPr>
          <w:rFonts w:ascii="Arial" w:hAnsi="Arial"/>
          <w:noProof w:val="0"/>
          <w:rtl/>
        </w:rPr>
        <w:t xml:space="preserve"> הן הראיה המוצקה ביותר בנוגע לעבודה </w:t>
      </w:r>
      <w:r w:rsidR="008504E9">
        <w:rPr>
          <w:rFonts w:ascii="Arial" w:hAnsi="Arial"/>
          <w:noProof w:val="0"/>
          <w:rtl/>
        </w:rPr>
        <w:t>המסורה שביצעה המערערת עבור</w:t>
      </w:r>
      <w:r>
        <w:rPr>
          <w:rFonts w:ascii="Arial" w:hAnsi="Arial"/>
          <w:noProof w:val="0"/>
          <w:rtl/>
        </w:rPr>
        <w:t xml:space="preserve">ה. </w:t>
      </w:r>
    </w:p>
    <w:p w:rsidR="00442867" w:rsidRDefault="00442867" w:rsidP="00442867">
      <w:pPr>
        <w:spacing w:line="360" w:lineRule="auto"/>
        <w:ind w:left="720"/>
        <w:jc w:val="both"/>
        <w:rPr>
          <w:rFonts w:ascii="Arial" w:hAnsi="Arial"/>
          <w:noProof w:val="0"/>
          <w:rtl/>
        </w:rPr>
      </w:pPr>
      <w:r>
        <w:rPr>
          <w:rFonts w:ascii="Arial" w:hAnsi="Arial"/>
          <w:noProof w:val="0"/>
          <w:rtl/>
        </w:rPr>
        <w:t xml:space="preserve">לטענת המערערת, הכסף שקיבלה המשיבה בכל חודש הינו פרי עבודתה של המערערת כעורכת-דין. בזכות עבודתה של המערערת המשיכה המשיבה לקבל קצבאות לאורך כל התקופה שהייתה מיוצגת על ידה. אז לא היו לה טענות, אולם כאשר הגיעה העת לשלם – המשיבה סירבה ולא בצדק. המערערת אינה עושה עבודתה בהתנדבות, כך היא טוענת, והיא זכאית לקבל תשלום עבורה. </w:t>
      </w:r>
    </w:p>
    <w:p w:rsidR="00442867" w:rsidRDefault="00442867" w:rsidP="00442867">
      <w:pPr>
        <w:spacing w:line="360" w:lineRule="auto"/>
        <w:ind w:left="720"/>
        <w:jc w:val="both"/>
        <w:rPr>
          <w:rFonts w:ascii="Arial" w:hAnsi="Arial"/>
          <w:noProof w:val="0"/>
          <w:rtl/>
        </w:rPr>
      </w:pPr>
    </w:p>
    <w:p w:rsidR="00442867" w:rsidRDefault="00442867" w:rsidP="00442867">
      <w:pPr>
        <w:spacing w:line="360" w:lineRule="auto"/>
        <w:ind w:left="720" w:hanging="720"/>
        <w:jc w:val="both"/>
        <w:rPr>
          <w:rFonts w:ascii="Arial" w:hAnsi="Arial"/>
          <w:noProof w:val="0"/>
          <w:rtl/>
        </w:rPr>
      </w:pPr>
      <w:r>
        <w:rPr>
          <w:rFonts w:ascii="Arial" w:hAnsi="Arial"/>
          <w:noProof w:val="0"/>
          <w:rtl/>
        </w:rPr>
        <w:t>36.</w:t>
      </w:r>
      <w:r>
        <w:rPr>
          <w:rFonts w:ascii="Arial" w:hAnsi="Arial"/>
          <w:noProof w:val="0"/>
          <w:rtl/>
        </w:rPr>
        <w:tab/>
        <w:t>המערערת מוסיפה, כי המשיבה קיבלה תשלום עבור 100% אובדן כושר עבודה במשך 8 שנים רצופות בזכות עבודה יסודית ומאמצת שביצעה המערערת עצמה. בזכות עבודה זו זכתה המשיבה בקצבת אובדן כושר עבודה מלאה בגיל 39 שנים בלבד וכתוצאה מכך היא מקבלת עד היום ותקבל עוד שנים רבות קצבה חודשית קדימה, בהתאם לזכאותה בפוליסה של קרן הפנסיה.  המערערת אפילו דאגה לאשר את תביעת אוב</w:t>
      </w:r>
      <w:r w:rsidR="00AA3915">
        <w:rPr>
          <w:rFonts w:ascii="Arial" w:hAnsi="Arial"/>
          <w:noProof w:val="0"/>
          <w:rtl/>
        </w:rPr>
        <w:t xml:space="preserve">דן כושר עבודה המלא באופן </w:t>
      </w:r>
      <w:r w:rsidR="00AA3915">
        <w:rPr>
          <w:rFonts w:ascii="Arial" w:hAnsi="Arial" w:hint="cs"/>
          <w:noProof w:val="0"/>
          <w:rtl/>
        </w:rPr>
        <w:t>רטרואקטיבי</w:t>
      </w:r>
      <w:r w:rsidR="00AA3915">
        <w:rPr>
          <w:rFonts w:ascii="Arial" w:hAnsi="Arial" w:hint="eastAsia"/>
          <w:noProof w:val="0"/>
          <w:rtl/>
        </w:rPr>
        <w:t>ת</w:t>
      </w:r>
      <w:r>
        <w:rPr>
          <w:rFonts w:ascii="Arial" w:hAnsi="Arial"/>
          <w:noProof w:val="0"/>
          <w:rtl/>
        </w:rPr>
        <w:t xml:space="preserve"> מחודש נובמבר 2012. שוב, היא טוענת כי הכל פרי עבודתה המסורה שכלל מספר ערעורים. </w:t>
      </w:r>
    </w:p>
    <w:p w:rsidR="00442867" w:rsidRDefault="00442867" w:rsidP="00442867">
      <w:pPr>
        <w:spacing w:line="360" w:lineRule="auto"/>
        <w:ind w:left="720" w:hanging="720"/>
        <w:jc w:val="both"/>
        <w:rPr>
          <w:rFonts w:ascii="Arial" w:hAnsi="Arial"/>
          <w:noProof w:val="0"/>
          <w:rtl/>
        </w:rPr>
      </w:pPr>
    </w:p>
    <w:p w:rsidR="00442867" w:rsidRDefault="00442867" w:rsidP="00442867">
      <w:pPr>
        <w:spacing w:line="360" w:lineRule="auto"/>
        <w:ind w:left="720" w:hanging="720"/>
        <w:jc w:val="both"/>
        <w:rPr>
          <w:rFonts w:ascii="Arial" w:hAnsi="Arial"/>
          <w:noProof w:val="0"/>
          <w:rtl/>
        </w:rPr>
      </w:pPr>
      <w:r>
        <w:rPr>
          <w:rFonts w:ascii="Arial" w:hAnsi="Arial"/>
          <w:noProof w:val="0"/>
          <w:rtl/>
        </w:rPr>
        <w:t>37.</w:t>
      </w:r>
      <w:r>
        <w:rPr>
          <w:rFonts w:ascii="Arial" w:hAnsi="Arial"/>
          <w:noProof w:val="0"/>
          <w:rtl/>
        </w:rPr>
        <w:tab/>
        <w:t xml:space="preserve">המערערת שוללת את טענתה של המשיבה לפיה לא היה מקום לדון בתביעה לתוספת שכר ראוי ושני הרכיבים של אובדן כושר עבודה של הפניקס ותיק הנכות הכללית מול המל"ל.  המערערת סומכת בנקודה זו את ידה על קביעתו העקרונית של בית המשפט קמא, כי היא הוכיחה זכאות לתוספת שכ"ט ראוי בגין המל"ל. עם זאת, הסכום של 4,329 ₪ בלבד שפסק </w:t>
      </w:r>
      <w:r>
        <w:rPr>
          <w:rFonts w:ascii="Arial" w:hAnsi="Arial"/>
          <w:noProof w:val="0"/>
          <w:rtl/>
        </w:rPr>
        <w:lastRenderedPageBreak/>
        <w:t xml:space="preserve">בית המשפט קמא במקום הסכום של 29,752 ₪ המגיע למערערת, אינו הולם את היקף עבודתה הרב ועל כך היא מלינה בערעורה. התקיימו 20 וועדות רפואיות משנת 2013 ועד שנת 2018 ושני דיונים בבית הדין לעבודה. הוגשו ערעורים רבים כנגד המל"ל בתביעה להחמרה בגין קצבת נכות כללית. כל זה מצדיק לשיטת המערערת סכום גבוה יותר ממה שנפסק לה. וודאי שהוא מצדיק את הסכום המועט שנפסק בשיעור 4,329 ₪. </w:t>
      </w:r>
    </w:p>
    <w:p w:rsidR="00442867" w:rsidRDefault="00442867" w:rsidP="00442867">
      <w:pPr>
        <w:spacing w:line="360" w:lineRule="auto"/>
        <w:ind w:left="720" w:hanging="720"/>
        <w:jc w:val="both"/>
        <w:rPr>
          <w:rFonts w:ascii="Arial" w:hAnsi="Arial"/>
          <w:noProof w:val="0"/>
          <w:rtl/>
        </w:rPr>
      </w:pPr>
    </w:p>
    <w:p w:rsidR="00442867" w:rsidRDefault="00442867" w:rsidP="008504E9">
      <w:pPr>
        <w:spacing w:line="360" w:lineRule="auto"/>
        <w:ind w:left="720" w:hanging="720"/>
        <w:jc w:val="both"/>
        <w:rPr>
          <w:rFonts w:ascii="Arial" w:hAnsi="Arial"/>
          <w:noProof w:val="0"/>
          <w:rtl/>
        </w:rPr>
      </w:pPr>
      <w:r>
        <w:rPr>
          <w:rFonts w:ascii="Arial" w:hAnsi="Arial"/>
          <w:noProof w:val="0"/>
          <w:rtl/>
        </w:rPr>
        <w:t>38.</w:t>
      </w:r>
      <w:r>
        <w:rPr>
          <w:rFonts w:ascii="Arial" w:hAnsi="Arial"/>
          <w:noProof w:val="0"/>
          <w:rtl/>
        </w:rPr>
        <w:tab/>
        <w:t>המערערת מוסיפה, כי המשיבה נהנתה ותיהנה כל חייה מפירות עבודתה של המערערת. רמת חייה עלתה והיא חיה ומתקיימת מהכספים שהמערערת השיגה עבורה</w:t>
      </w:r>
      <w:r w:rsidR="008504E9">
        <w:rPr>
          <w:rFonts w:ascii="Arial" w:hAnsi="Arial"/>
          <w:noProof w:val="0"/>
          <w:rtl/>
        </w:rPr>
        <w:t>. אין שחר לטענת המשיבה כי ההסכ</w:t>
      </w:r>
      <w:r w:rsidR="008504E9">
        <w:rPr>
          <w:rFonts w:ascii="Arial" w:hAnsi="Arial" w:hint="cs"/>
          <w:noProof w:val="0"/>
          <w:rtl/>
        </w:rPr>
        <w:t>מים משנים 2013, 2017,</w:t>
      </w:r>
      <w:r w:rsidR="008504E9">
        <w:rPr>
          <w:rFonts w:ascii="Arial" w:hAnsi="Arial"/>
          <w:noProof w:val="0"/>
          <w:rtl/>
        </w:rPr>
        <w:t xml:space="preserve"> מכס</w:t>
      </w:r>
      <w:r w:rsidR="008504E9">
        <w:rPr>
          <w:rFonts w:ascii="Arial" w:hAnsi="Arial" w:hint="cs"/>
          <w:noProof w:val="0"/>
          <w:rtl/>
        </w:rPr>
        <w:t>ים</w:t>
      </w:r>
      <w:r>
        <w:rPr>
          <w:rFonts w:ascii="Arial" w:hAnsi="Arial"/>
          <w:noProof w:val="0"/>
          <w:rtl/>
        </w:rPr>
        <w:t xml:space="preserve"> את מלוא הטיפול שהעניקה המערערת למשיבה בתביעות נגד המל"ל ונגד הפניקס לאחר 36 קצבאות חודשיות ראשונות. אפילו המשיבה עצמה מציינת כי תקופת הסכם 2013 לא הסתיימה לאחר שקיבלה 36 קצבאות משום שההסכם לא היה מוגבל בזמן. </w:t>
      </w:r>
    </w:p>
    <w:p w:rsidR="00442867" w:rsidRDefault="00442867" w:rsidP="00442867">
      <w:pPr>
        <w:spacing w:line="360" w:lineRule="auto"/>
        <w:ind w:left="720" w:hanging="720"/>
        <w:jc w:val="both"/>
        <w:rPr>
          <w:rFonts w:ascii="Arial" w:hAnsi="Arial"/>
          <w:noProof w:val="0"/>
          <w:rtl/>
        </w:rPr>
      </w:pPr>
      <w:r>
        <w:rPr>
          <w:rFonts w:ascii="Arial" w:hAnsi="Arial"/>
          <w:noProof w:val="0"/>
          <w:rtl/>
        </w:rPr>
        <w:tab/>
        <w:t>בהסכם זה ישנו סעיף מפורש, סעיף 1, אשר קובע בסיפא שלו: "</w:t>
      </w:r>
      <w:r>
        <w:rPr>
          <w:rFonts w:ascii="Arial" w:hAnsi="Arial"/>
          <w:b/>
          <w:bCs/>
          <w:noProof w:val="0"/>
          <w:rtl/>
        </w:rPr>
        <w:t>מוסכם כי הלקוח ישלם שכ"ט נוסף בהתאם להליכים שיהיו</w:t>
      </w:r>
      <w:r>
        <w:rPr>
          <w:rFonts w:ascii="Arial" w:hAnsi="Arial"/>
          <w:noProof w:val="0"/>
          <w:rtl/>
        </w:rPr>
        <w:t xml:space="preserve">". </w:t>
      </w:r>
    </w:p>
    <w:p w:rsidR="00442867" w:rsidRDefault="00442867" w:rsidP="00442867">
      <w:pPr>
        <w:spacing w:line="360" w:lineRule="auto"/>
        <w:ind w:left="720" w:hanging="720"/>
        <w:jc w:val="both"/>
        <w:rPr>
          <w:rFonts w:ascii="Arial" w:hAnsi="Arial"/>
          <w:noProof w:val="0"/>
          <w:rtl/>
        </w:rPr>
      </w:pPr>
    </w:p>
    <w:p w:rsidR="00442867" w:rsidRDefault="00442867" w:rsidP="00442867">
      <w:pPr>
        <w:spacing w:line="360" w:lineRule="auto"/>
        <w:ind w:left="720" w:hanging="720"/>
        <w:jc w:val="both"/>
        <w:rPr>
          <w:rFonts w:ascii="Arial" w:hAnsi="Arial"/>
          <w:noProof w:val="0"/>
          <w:rtl/>
        </w:rPr>
      </w:pPr>
      <w:r>
        <w:rPr>
          <w:rFonts w:ascii="Arial" w:hAnsi="Arial"/>
          <w:noProof w:val="0"/>
          <w:rtl/>
        </w:rPr>
        <w:t>39.</w:t>
      </w:r>
      <w:r>
        <w:rPr>
          <w:rFonts w:ascii="Arial" w:hAnsi="Arial"/>
          <w:noProof w:val="0"/>
          <w:rtl/>
        </w:rPr>
        <w:tab/>
        <w:t>המערערת נהגה להאריך עבור המשיבה לבקשתה ובהסכמתה המלאה את התביעה לזכאות קצבת אובדן כושר עבודה מלא כל שנה</w:t>
      </w:r>
      <w:r w:rsidR="00B14DAF">
        <w:rPr>
          <w:rFonts w:ascii="Arial" w:hAnsi="Arial" w:hint="cs"/>
          <w:noProof w:val="0"/>
          <w:rtl/>
        </w:rPr>
        <w:t>.</w:t>
      </w:r>
      <w:r w:rsidR="00B14DAF">
        <w:rPr>
          <w:rFonts w:ascii="Arial" w:hAnsi="Arial"/>
          <w:noProof w:val="0"/>
          <w:rtl/>
        </w:rPr>
        <w:t xml:space="preserve"> </w:t>
      </w:r>
      <w:r>
        <w:rPr>
          <w:rFonts w:ascii="Arial" w:hAnsi="Arial"/>
          <w:noProof w:val="0"/>
          <w:rtl/>
        </w:rPr>
        <w:t>כתוצאה מכך קיבלה המשיבה עוד ועוד קצבאות</w:t>
      </w:r>
      <w:r w:rsidR="00B14DAF">
        <w:rPr>
          <w:rFonts w:ascii="Arial" w:hAnsi="Arial"/>
          <w:noProof w:val="0"/>
          <w:rtl/>
        </w:rPr>
        <w:t xml:space="preserve"> מעבר לאותן 36 קצבאות ראשונות. </w:t>
      </w:r>
      <w:r>
        <w:rPr>
          <w:rFonts w:ascii="Arial" w:hAnsi="Arial"/>
          <w:noProof w:val="0"/>
          <w:rtl/>
        </w:rPr>
        <w:t>המערערת טוענת כי המשיבה לא אמרה למערערת מעולם להפסיק לטפל בהארכות ו</w:t>
      </w:r>
      <w:r w:rsidR="00B14DAF">
        <w:rPr>
          <w:rFonts w:ascii="Arial" w:hAnsi="Arial" w:hint="cs"/>
          <w:noProof w:val="0"/>
          <w:rtl/>
        </w:rPr>
        <w:t xml:space="preserve">אף </w:t>
      </w:r>
      <w:r>
        <w:rPr>
          <w:rFonts w:ascii="Arial" w:hAnsi="Arial"/>
          <w:noProof w:val="0"/>
          <w:rtl/>
        </w:rPr>
        <w:t xml:space="preserve">המציאה תיעוד רפואי נדרש כדי לספק למערערת כלים להמשך עבודתה. עבודה זו לא בוצעה בחינם, כך טוענת המערערת. על המשיבה לשלם שכ"ט ראוי. יש להיתן תוקף להסכמות שהושגו בעל-פה ובהתנהגות בנושא שכ"ט בהמשך לטיפול הן כנגד המל"ל והן כנגד הפניקס. </w:t>
      </w:r>
    </w:p>
    <w:p w:rsidR="00442867" w:rsidRDefault="00442867" w:rsidP="00442867">
      <w:pPr>
        <w:spacing w:line="360" w:lineRule="auto"/>
        <w:jc w:val="both"/>
        <w:rPr>
          <w:rFonts w:ascii="Arial" w:hAnsi="Arial"/>
          <w:noProof w:val="0"/>
          <w:rtl/>
        </w:rPr>
      </w:pPr>
    </w:p>
    <w:p w:rsidR="00442867" w:rsidRDefault="00442867" w:rsidP="00442867">
      <w:pPr>
        <w:spacing w:line="360" w:lineRule="auto"/>
        <w:ind w:left="720" w:hanging="720"/>
        <w:jc w:val="both"/>
        <w:rPr>
          <w:rFonts w:ascii="Arial" w:hAnsi="Arial"/>
          <w:noProof w:val="0"/>
          <w:rtl/>
        </w:rPr>
      </w:pPr>
      <w:r>
        <w:rPr>
          <w:rFonts w:ascii="Arial" w:hAnsi="Arial"/>
          <w:noProof w:val="0"/>
          <w:rtl/>
        </w:rPr>
        <w:t>40.</w:t>
      </w:r>
      <w:r>
        <w:rPr>
          <w:rFonts w:ascii="Arial" w:hAnsi="Arial"/>
          <w:noProof w:val="0"/>
          <w:rtl/>
        </w:rPr>
        <w:tab/>
        <w:t xml:space="preserve">המערערת גורסת, כי הוכיחה בהליך קמא, שהתגבש הסכם מחייב בין הצדדים, לפיו המשיבה המשיכה לשכור את שירותי המערערת בעניינים נוספים מעבר להסכם הכתוב. הדבר צריך למצוא ביטוי גם בתשלום ולא רק בהתנהגות של קבלת השירות. </w:t>
      </w:r>
    </w:p>
    <w:p w:rsidR="00442867" w:rsidRDefault="00442867" w:rsidP="00442867">
      <w:pPr>
        <w:spacing w:line="360" w:lineRule="auto"/>
        <w:ind w:left="720" w:hanging="720"/>
        <w:jc w:val="both"/>
        <w:rPr>
          <w:rFonts w:ascii="Arial" w:hAnsi="Arial"/>
          <w:noProof w:val="0"/>
          <w:rtl/>
        </w:rPr>
      </w:pPr>
      <w:r>
        <w:rPr>
          <w:rFonts w:ascii="Arial" w:hAnsi="Arial"/>
          <w:noProof w:val="0"/>
          <w:rtl/>
        </w:rPr>
        <w:tab/>
        <w:t>המערערת הדגישה בהקשר זה, כי היא הס</w:t>
      </w:r>
      <w:r w:rsidR="00B14DAF">
        <w:rPr>
          <w:rFonts w:ascii="Arial" w:hAnsi="Arial"/>
          <w:noProof w:val="0"/>
          <w:rtl/>
        </w:rPr>
        <w:t>בירה למשיבה את תוכנו של הסכם שכ</w:t>
      </w:r>
      <w:r>
        <w:rPr>
          <w:rFonts w:ascii="Arial" w:hAnsi="Arial"/>
          <w:noProof w:val="0"/>
          <w:rtl/>
        </w:rPr>
        <w:t>"ט</w:t>
      </w:r>
      <w:r w:rsidR="00AA3915">
        <w:rPr>
          <w:rFonts w:ascii="Arial" w:hAnsi="Arial" w:hint="cs"/>
          <w:noProof w:val="0"/>
          <w:rtl/>
        </w:rPr>
        <w:t>,</w:t>
      </w:r>
      <w:r>
        <w:rPr>
          <w:rFonts w:ascii="Arial" w:hAnsi="Arial"/>
          <w:noProof w:val="0"/>
          <w:rtl/>
        </w:rPr>
        <w:t xml:space="preserve"> הן בשפה הרוסית והן בשפה העברית כפי שהוכח בבית משפט קמא. אולם נוח לה לשלם למערערת רק 36 קצבאות ולתת לה להמשיך לעבוד בידיעה מלאה כי אינה מתעתדת לשלם לה עבור עבודה זו בעתיד. </w:t>
      </w:r>
    </w:p>
    <w:p w:rsidR="00442867" w:rsidRDefault="00442867" w:rsidP="00442867">
      <w:pPr>
        <w:spacing w:line="360" w:lineRule="auto"/>
        <w:ind w:left="720" w:hanging="720"/>
        <w:jc w:val="both"/>
        <w:rPr>
          <w:rFonts w:ascii="Arial" w:hAnsi="Arial"/>
          <w:noProof w:val="0"/>
          <w:rtl/>
        </w:rPr>
      </w:pPr>
    </w:p>
    <w:p w:rsidR="00442867" w:rsidRDefault="00442867" w:rsidP="00F807FA">
      <w:pPr>
        <w:spacing w:line="360" w:lineRule="auto"/>
        <w:ind w:left="720" w:hanging="720"/>
        <w:jc w:val="both"/>
        <w:rPr>
          <w:rFonts w:ascii="Arial" w:hAnsi="Arial"/>
          <w:noProof w:val="0"/>
          <w:rtl/>
        </w:rPr>
      </w:pPr>
      <w:r>
        <w:rPr>
          <w:rFonts w:ascii="Arial" w:hAnsi="Arial"/>
          <w:noProof w:val="0"/>
          <w:rtl/>
        </w:rPr>
        <w:t>41.</w:t>
      </w:r>
      <w:r>
        <w:rPr>
          <w:rFonts w:ascii="Arial" w:hAnsi="Arial"/>
          <w:noProof w:val="0"/>
          <w:rtl/>
        </w:rPr>
        <w:tab/>
        <w:t xml:space="preserve">המשיבה היא זו שביקשה המערערת להגיש תביעה חדשה להחמרה כנגד המל"ל להגדלת אחוזי הנכות. היא קיבלה ונהנתה במשך שנתיים נוספות מהקיצבה ולאחר שנתיים </w:t>
      </w:r>
      <w:r>
        <w:rPr>
          <w:rFonts w:ascii="Arial" w:hAnsi="Arial"/>
          <w:noProof w:val="0"/>
          <w:rtl/>
        </w:rPr>
        <w:lastRenderedPageBreak/>
        <w:t>הופחתה הקצבה מ- 100% ל- 65%, החל מיום 1.3.2019. בכל התקופה הזו ועד שקיבלה המערערת מ</w:t>
      </w:r>
      <w:r w:rsidR="0053289F">
        <w:rPr>
          <w:rFonts w:ascii="Arial" w:hAnsi="Arial"/>
          <w:noProof w:val="0"/>
          <w:rtl/>
        </w:rPr>
        <w:t>כתב להפסקת ייצוגה ביום 1.8.2019</w:t>
      </w:r>
      <w:r w:rsidR="0053289F">
        <w:rPr>
          <w:rFonts w:ascii="Arial" w:hAnsi="Arial" w:hint="cs"/>
          <w:noProof w:val="0"/>
          <w:rtl/>
        </w:rPr>
        <w:t xml:space="preserve">, </w:t>
      </w:r>
      <w:r>
        <w:rPr>
          <w:rFonts w:ascii="Arial" w:hAnsi="Arial"/>
          <w:noProof w:val="0"/>
          <w:rtl/>
        </w:rPr>
        <w:t>היא עבדה ללא הפסקה עבור המשיבה כולל הגשת ערעור על החלטת המל"ל להפחית את שיעור אחוזי הנכות. כתוצאה מעב</w:t>
      </w:r>
      <w:r w:rsidR="00B14DAF">
        <w:rPr>
          <w:rFonts w:ascii="Arial" w:hAnsi="Arial" w:hint="cs"/>
          <w:noProof w:val="0"/>
          <w:rtl/>
        </w:rPr>
        <w:t>ו</w:t>
      </w:r>
      <w:r w:rsidR="00B14DAF">
        <w:rPr>
          <w:rFonts w:ascii="Arial" w:hAnsi="Arial"/>
          <w:noProof w:val="0"/>
          <w:rtl/>
        </w:rPr>
        <w:t>ד</w:t>
      </w:r>
      <w:r>
        <w:rPr>
          <w:rFonts w:ascii="Arial" w:hAnsi="Arial"/>
          <w:noProof w:val="0"/>
          <w:rtl/>
        </w:rPr>
        <w:t xml:space="preserve">תה של המערערת נקבעה למשיבה וועדת ערר ליום 12.8.2019. שם, המשיבה התייצבה כבר עם עורך דינה החדש. תביעתה התקבלה בסופו של דבר והוגדלו אחוזי הנכות ל- 100%. </w:t>
      </w:r>
      <w:r w:rsidR="00F807FA">
        <w:rPr>
          <w:rFonts w:ascii="Arial" w:hAnsi="Arial" w:hint="cs"/>
          <w:noProof w:val="0"/>
          <w:rtl/>
        </w:rPr>
        <w:t xml:space="preserve">לטענת המערערת, </w:t>
      </w:r>
      <w:r>
        <w:rPr>
          <w:rFonts w:ascii="Arial" w:hAnsi="Arial"/>
          <w:noProof w:val="0"/>
          <w:rtl/>
        </w:rPr>
        <w:t xml:space="preserve">הכל בזכות </w:t>
      </w:r>
      <w:r w:rsidR="00F807FA">
        <w:rPr>
          <w:rFonts w:ascii="Arial" w:hAnsi="Arial" w:hint="cs"/>
          <w:noProof w:val="0"/>
          <w:rtl/>
        </w:rPr>
        <w:t>ה</w:t>
      </w:r>
      <w:r w:rsidR="00F807FA">
        <w:rPr>
          <w:rFonts w:ascii="Arial" w:hAnsi="Arial"/>
          <w:noProof w:val="0"/>
          <w:rtl/>
        </w:rPr>
        <w:t>עבוד</w:t>
      </w:r>
      <w:r>
        <w:rPr>
          <w:rFonts w:ascii="Arial" w:hAnsi="Arial"/>
          <w:noProof w:val="0"/>
          <w:rtl/>
        </w:rPr>
        <w:t>ה האינטנסיבית והמקצועית של</w:t>
      </w:r>
      <w:r w:rsidR="00F807FA">
        <w:rPr>
          <w:rFonts w:ascii="Arial" w:hAnsi="Arial" w:hint="cs"/>
          <w:noProof w:val="0"/>
          <w:rtl/>
        </w:rPr>
        <w:t>ה</w:t>
      </w:r>
      <w:r>
        <w:rPr>
          <w:rFonts w:ascii="Arial" w:hAnsi="Arial"/>
          <w:noProof w:val="0"/>
          <w:rtl/>
        </w:rPr>
        <w:t xml:space="preserve">. </w:t>
      </w:r>
    </w:p>
    <w:p w:rsidR="00442867" w:rsidRDefault="00442867" w:rsidP="00442867">
      <w:pPr>
        <w:spacing w:line="360" w:lineRule="auto"/>
        <w:ind w:left="720" w:hanging="720"/>
        <w:jc w:val="both"/>
        <w:rPr>
          <w:rFonts w:ascii="Arial" w:hAnsi="Arial"/>
          <w:noProof w:val="0"/>
          <w:rtl/>
        </w:rPr>
      </w:pPr>
    </w:p>
    <w:p w:rsidR="00442867" w:rsidRDefault="00442867" w:rsidP="00F807FA">
      <w:pPr>
        <w:spacing w:line="360" w:lineRule="auto"/>
        <w:ind w:left="720" w:hanging="720"/>
        <w:jc w:val="both"/>
        <w:rPr>
          <w:rFonts w:ascii="Arial" w:hAnsi="Arial"/>
          <w:noProof w:val="0"/>
          <w:rtl/>
        </w:rPr>
      </w:pPr>
      <w:r>
        <w:rPr>
          <w:rFonts w:ascii="Arial" w:hAnsi="Arial"/>
          <w:noProof w:val="0"/>
          <w:rtl/>
        </w:rPr>
        <w:t>42.</w:t>
      </w:r>
      <w:r>
        <w:rPr>
          <w:rFonts w:ascii="Arial" w:hAnsi="Arial"/>
          <w:noProof w:val="0"/>
          <w:rtl/>
        </w:rPr>
        <w:tab/>
        <w:t>המשיבה קצרה את פרי עבודתה של המערערת לאורך השנים, ו</w:t>
      </w:r>
      <w:r w:rsidR="00F807FA">
        <w:rPr>
          <w:rFonts w:ascii="Arial" w:hAnsi="Arial" w:hint="cs"/>
          <w:noProof w:val="0"/>
          <w:rtl/>
        </w:rPr>
        <w:t xml:space="preserve">לכן טוענת </w:t>
      </w:r>
      <w:r>
        <w:rPr>
          <w:rFonts w:ascii="Arial" w:hAnsi="Arial"/>
          <w:noProof w:val="0"/>
          <w:rtl/>
        </w:rPr>
        <w:t xml:space="preserve">המערערת </w:t>
      </w:r>
      <w:r w:rsidR="00F807FA">
        <w:rPr>
          <w:rFonts w:ascii="Arial" w:hAnsi="Arial" w:hint="cs"/>
          <w:noProof w:val="0"/>
          <w:rtl/>
        </w:rPr>
        <w:t xml:space="preserve">כי הינה </w:t>
      </w:r>
      <w:r w:rsidR="0053289F">
        <w:rPr>
          <w:rFonts w:ascii="Arial" w:hAnsi="Arial"/>
          <w:noProof w:val="0"/>
          <w:rtl/>
        </w:rPr>
        <w:t>זכאית לשכ"ט עבור העבודה שהשקיעה</w:t>
      </w:r>
      <w:r w:rsidR="0053289F">
        <w:rPr>
          <w:rFonts w:ascii="Arial" w:hAnsi="Arial" w:hint="cs"/>
          <w:noProof w:val="0"/>
          <w:rtl/>
        </w:rPr>
        <w:t>,</w:t>
      </w:r>
      <w:r>
        <w:rPr>
          <w:rFonts w:ascii="Arial" w:hAnsi="Arial"/>
          <w:noProof w:val="0"/>
          <w:rtl/>
        </w:rPr>
        <w:t xml:space="preserve"> היא ולא עורכת הדין החדשה שייצגה בדיון ביום 12.8.2019. </w:t>
      </w:r>
    </w:p>
    <w:p w:rsidR="00442867" w:rsidRDefault="00442867" w:rsidP="00442867">
      <w:pPr>
        <w:spacing w:line="360" w:lineRule="auto"/>
        <w:ind w:left="720" w:hanging="720"/>
        <w:jc w:val="both"/>
        <w:rPr>
          <w:rFonts w:ascii="Arial" w:hAnsi="Arial"/>
          <w:noProof w:val="0"/>
          <w:rtl/>
        </w:rPr>
      </w:pPr>
      <w:r>
        <w:rPr>
          <w:rFonts w:ascii="Arial" w:hAnsi="Arial"/>
          <w:noProof w:val="0"/>
          <w:rtl/>
        </w:rPr>
        <w:tab/>
      </w:r>
      <w:r w:rsidR="00F807FA">
        <w:rPr>
          <w:rFonts w:ascii="Arial" w:hAnsi="Arial" w:hint="cs"/>
          <w:noProof w:val="0"/>
          <w:rtl/>
        </w:rPr>
        <w:t xml:space="preserve">לדידה, </w:t>
      </w:r>
      <w:r>
        <w:rPr>
          <w:rFonts w:ascii="Arial" w:hAnsi="Arial"/>
          <w:noProof w:val="0"/>
          <w:rtl/>
        </w:rPr>
        <w:t>בצדק קבע בית המשפט קמא, כי אין לשלול מהמערערת את זכאותה לקבלת שכ"ט עבור העבודה שביצעה בפועל כפי שנקבע בסעיף 44 לפסק הדין, אולם הסכום שיש לפס</w:t>
      </w:r>
      <w:r w:rsidR="00F807FA">
        <w:rPr>
          <w:rFonts w:ascii="Arial" w:hAnsi="Arial" w:hint="cs"/>
          <w:noProof w:val="0"/>
          <w:rtl/>
        </w:rPr>
        <w:t>ו</w:t>
      </w:r>
      <w:r>
        <w:rPr>
          <w:rFonts w:ascii="Arial" w:hAnsi="Arial"/>
          <w:noProof w:val="0"/>
          <w:rtl/>
        </w:rPr>
        <w:t>ק בגין הנ"ל הוא 29,752 ₪ ולא כפי שנקבע. לא בכדי קבע בית המשפט קמא כי המערערת זכאית "לכל הפחות לשכ"ט ראוי" (סעיף 55 לפסק הדין).</w:t>
      </w:r>
    </w:p>
    <w:p w:rsidR="00442867" w:rsidRDefault="00442867" w:rsidP="00442867">
      <w:pPr>
        <w:spacing w:line="360" w:lineRule="auto"/>
        <w:jc w:val="both"/>
        <w:rPr>
          <w:rFonts w:ascii="Arial" w:hAnsi="Arial"/>
          <w:noProof w:val="0"/>
          <w:rtl/>
        </w:rPr>
      </w:pPr>
    </w:p>
    <w:p w:rsidR="00442867" w:rsidRDefault="00442867" w:rsidP="00F807FA">
      <w:pPr>
        <w:spacing w:line="360" w:lineRule="auto"/>
        <w:ind w:left="720" w:hanging="720"/>
        <w:jc w:val="both"/>
        <w:rPr>
          <w:rFonts w:ascii="Arial" w:hAnsi="Arial"/>
          <w:noProof w:val="0"/>
          <w:rtl/>
        </w:rPr>
      </w:pPr>
      <w:r>
        <w:rPr>
          <w:rFonts w:ascii="Arial" w:hAnsi="Arial"/>
          <w:noProof w:val="0"/>
          <w:rtl/>
        </w:rPr>
        <w:t>43.</w:t>
      </w:r>
      <w:r>
        <w:rPr>
          <w:rFonts w:ascii="Arial" w:hAnsi="Arial"/>
          <w:noProof w:val="0"/>
          <w:rtl/>
        </w:rPr>
        <w:tab/>
      </w:r>
      <w:r w:rsidR="00F807FA">
        <w:rPr>
          <w:rFonts w:ascii="Arial" w:hAnsi="Arial" w:hint="cs"/>
          <w:noProof w:val="0"/>
          <w:rtl/>
        </w:rPr>
        <w:t xml:space="preserve">לטענתה, </w:t>
      </w:r>
      <w:r>
        <w:rPr>
          <w:rFonts w:ascii="Arial" w:hAnsi="Arial"/>
          <w:noProof w:val="0"/>
          <w:rtl/>
        </w:rPr>
        <w:t>על בית המשפט קמא</w:t>
      </w:r>
      <w:r w:rsidR="00F807FA">
        <w:rPr>
          <w:rFonts w:ascii="Arial" w:hAnsi="Arial" w:hint="cs"/>
          <w:noProof w:val="0"/>
          <w:rtl/>
        </w:rPr>
        <w:t xml:space="preserve"> היה</w:t>
      </w:r>
      <w:r>
        <w:rPr>
          <w:rFonts w:ascii="Arial" w:hAnsi="Arial"/>
          <w:noProof w:val="0"/>
          <w:rtl/>
        </w:rPr>
        <w:t xml:space="preserve"> לראות זאת ובהתאמה לפסוק לה שכ"ט</w:t>
      </w:r>
      <w:r w:rsidR="00F807FA">
        <w:rPr>
          <w:rFonts w:ascii="Arial" w:hAnsi="Arial" w:hint="cs"/>
          <w:noProof w:val="0"/>
          <w:rtl/>
        </w:rPr>
        <w:t xml:space="preserve"> הולם וראוי</w:t>
      </w:r>
      <w:r w:rsidR="00F807FA">
        <w:rPr>
          <w:rFonts w:ascii="Arial" w:hAnsi="Arial"/>
          <w:noProof w:val="0"/>
          <w:rtl/>
        </w:rPr>
        <w:t xml:space="preserve">. עו"ד זכאי </w:t>
      </w:r>
      <w:r w:rsidR="00F807FA">
        <w:rPr>
          <w:rFonts w:ascii="Arial" w:hAnsi="Arial" w:hint="cs"/>
          <w:noProof w:val="0"/>
          <w:rtl/>
        </w:rPr>
        <w:t>ל</w:t>
      </w:r>
      <w:r w:rsidR="00F807FA">
        <w:rPr>
          <w:rFonts w:ascii="Arial" w:hAnsi="Arial"/>
          <w:noProof w:val="0"/>
          <w:rtl/>
        </w:rPr>
        <w:t xml:space="preserve">קבל שכר בגין עבודה שביצע </w:t>
      </w:r>
      <w:r>
        <w:rPr>
          <w:rFonts w:ascii="Arial" w:hAnsi="Arial"/>
          <w:noProof w:val="0"/>
          <w:rtl/>
        </w:rPr>
        <w:t xml:space="preserve">בפועל, לפי הוראות הדין והפסיקה, גם אם השירות המשפטי לא הושלם מסיבות התלויות בלקוח. </w:t>
      </w:r>
    </w:p>
    <w:p w:rsidR="00442867" w:rsidRDefault="00442867" w:rsidP="00442867">
      <w:pPr>
        <w:spacing w:line="360" w:lineRule="auto"/>
        <w:ind w:left="720" w:hanging="720"/>
        <w:jc w:val="both"/>
        <w:rPr>
          <w:rFonts w:ascii="Arial" w:hAnsi="Arial"/>
          <w:noProof w:val="0"/>
          <w:rtl/>
        </w:rPr>
      </w:pPr>
      <w:r>
        <w:rPr>
          <w:rFonts w:ascii="Arial" w:hAnsi="Arial"/>
          <w:noProof w:val="0"/>
          <w:rtl/>
        </w:rPr>
        <w:tab/>
        <w:t xml:space="preserve">קביעת שכה"ט לו זכאי עוה"ד, תלוי בנסיבות הקונקרטיות של כל מקרה ומקרה. בכלל זה יש לבחון את הזמן שהקדיש עורך הדין למתן השירות, מהות השירות, היקפו, מורכבותו, שווי העניין נשוא השירות והדרך המקובלת במקרים אלה. </w:t>
      </w:r>
    </w:p>
    <w:p w:rsidR="00442867" w:rsidRDefault="00442867" w:rsidP="00442867">
      <w:pPr>
        <w:spacing w:line="360" w:lineRule="auto"/>
        <w:ind w:left="720" w:hanging="720"/>
        <w:jc w:val="both"/>
        <w:rPr>
          <w:rFonts w:ascii="Arial" w:hAnsi="Arial"/>
          <w:noProof w:val="0"/>
          <w:rtl/>
        </w:rPr>
      </w:pPr>
      <w:r>
        <w:rPr>
          <w:rFonts w:ascii="Arial" w:hAnsi="Arial"/>
          <w:noProof w:val="0"/>
          <w:rtl/>
        </w:rPr>
        <w:tab/>
        <w:t>בענייננו, טוענת המ</w:t>
      </w:r>
      <w:r w:rsidR="00F807FA">
        <w:rPr>
          <w:rFonts w:ascii="Arial" w:hAnsi="Arial"/>
          <w:noProof w:val="0"/>
          <w:rtl/>
        </w:rPr>
        <w:t>ערערת, כי לאחר שעבודתה תישקל במ</w:t>
      </w:r>
      <w:r w:rsidR="00F807FA">
        <w:rPr>
          <w:rFonts w:ascii="Arial" w:hAnsi="Arial" w:hint="cs"/>
          <w:noProof w:val="0"/>
          <w:rtl/>
        </w:rPr>
        <w:t>אזניי</w:t>
      </w:r>
      <w:r>
        <w:rPr>
          <w:rFonts w:ascii="Arial" w:hAnsi="Arial"/>
          <w:noProof w:val="0"/>
          <w:rtl/>
        </w:rPr>
        <w:t xml:space="preserve">ם אלה, אין ספק כי הקביעה הנכונה היא לזכותה בשכ"ט עבור עבודתה. </w:t>
      </w:r>
    </w:p>
    <w:p w:rsidR="00442867" w:rsidRDefault="00442867" w:rsidP="00442867">
      <w:pPr>
        <w:spacing w:line="360" w:lineRule="auto"/>
        <w:ind w:left="720" w:hanging="720"/>
        <w:jc w:val="both"/>
        <w:rPr>
          <w:rFonts w:ascii="Arial" w:hAnsi="Arial"/>
          <w:noProof w:val="0"/>
          <w:rtl/>
        </w:rPr>
      </w:pPr>
      <w:r>
        <w:rPr>
          <w:rFonts w:ascii="Arial" w:hAnsi="Arial"/>
          <w:noProof w:val="0"/>
          <w:rtl/>
        </w:rPr>
        <w:tab/>
        <w:t xml:space="preserve">הסכם 2017 הוא המקור לחיובים ופעולות שננקטו בין השנים 2017 – 2018 ובעניין זה יש לאמץ את מסקנותיו של בית המשפט קמא. </w:t>
      </w:r>
    </w:p>
    <w:p w:rsidR="00442867" w:rsidRDefault="00442867" w:rsidP="00442867">
      <w:pPr>
        <w:spacing w:line="360" w:lineRule="auto"/>
        <w:ind w:left="720" w:hanging="720"/>
        <w:jc w:val="both"/>
        <w:rPr>
          <w:rFonts w:ascii="Arial" w:hAnsi="Arial"/>
          <w:noProof w:val="0"/>
          <w:rtl/>
        </w:rPr>
      </w:pPr>
    </w:p>
    <w:p w:rsidR="00442867" w:rsidRDefault="00442867" w:rsidP="00442867">
      <w:pPr>
        <w:spacing w:line="360" w:lineRule="auto"/>
        <w:ind w:left="720" w:hanging="720"/>
        <w:jc w:val="both"/>
        <w:rPr>
          <w:rFonts w:ascii="Arial" w:hAnsi="Arial"/>
          <w:noProof w:val="0"/>
          <w:rtl/>
        </w:rPr>
      </w:pPr>
      <w:r>
        <w:rPr>
          <w:rFonts w:ascii="Arial" w:hAnsi="Arial"/>
          <w:noProof w:val="0"/>
          <w:rtl/>
        </w:rPr>
        <w:t>44.</w:t>
      </w:r>
      <w:r>
        <w:rPr>
          <w:rFonts w:ascii="Arial" w:hAnsi="Arial"/>
          <w:noProof w:val="0"/>
          <w:rtl/>
        </w:rPr>
        <w:tab/>
        <w:t xml:space="preserve">המשיבה מבקשת להתעלם מקיומו של הסכם 2017 היות שתוכנו והוראותיו אינם משרתים את מטרתה וגישה זו אין לקבל. </w:t>
      </w:r>
    </w:p>
    <w:p w:rsidR="00442867" w:rsidRDefault="00442867" w:rsidP="00442867">
      <w:pPr>
        <w:spacing w:line="360" w:lineRule="auto"/>
        <w:ind w:left="720" w:hanging="720"/>
        <w:jc w:val="both"/>
        <w:rPr>
          <w:rFonts w:ascii="Arial" w:hAnsi="Arial"/>
          <w:noProof w:val="0"/>
          <w:rtl/>
        </w:rPr>
      </w:pPr>
    </w:p>
    <w:p w:rsidR="00D31E1C" w:rsidRPr="00F807FA" w:rsidRDefault="00442867" w:rsidP="00F807FA">
      <w:pPr>
        <w:spacing w:line="360" w:lineRule="auto"/>
        <w:ind w:left="720" w:hanging="720"/>
        <w:jc w:val="both"/>
        <w:rPr>
          <w:rFonts w:ascii="Arial" w:hAnsi="Arial"/>
          <w:noProof w:val="0"/>
          <w:rtl/>
        </w:rPr>
      </w:pPr>
      <w:r>
        <w:rPr>
          <w:rFonts w:ascii="Arial" w:hAnsi="Arial"/>
          <w:noProof w:val="0"/>
          <w:rtl/>
        </w:rPr>
        <w:t>45.</w:t>
      </w:r>
      <w:r>
        <w:rPr>
          <w:rFonts w:ascii="Arial" w:hAnsi="Arial"/>
          <w:noProof w:val="0"/>
          <w:rtl/>
        </w:rPr>
        <w:tab/>
        <w:t xml:space="preserve">לסיכום, טוענת המערערת כי היא נלחמה והשיגה עבור המשיבה הצלחות משמעותיות תוך מקצועיות, מסירות ואגב יחסי אמון שנבנו בין הצדדים לאורך שנים. לא יעלה על הדעת, כי המערערת עבדה לחינם ויש לפסוק לה סך כולל של 128,259 ₪ בגין השירותים </w:t>
      </w:r>
      <w:r>
        <w:rPr>
          <w:rFonts w:ascii="Arial" w:hAnsi="Arial"/>
          <w:noProof w:val="0"/>
          <w:rtl/>
        </w:rPr>
        <w:lastRenderedPageBreak/>
        <w:t xml:space="preserve">המשפטיים שסיפקה למשיבה לאורך שמונה שנים ארוכות, כפי שתבעה בכתב התביעה המקורי. </w:t>
      </w:r>
    </w:p>
    <w:p w:rsidR="00D31E1C" w:rsidRDefault="00D31E1C" w:rsidP="00442867">
      <w:pPr>
        <w:spacing w:line="360" w:lineRule="auto"/>
        <w:ind w:left="720" w:hanging="720"/>
        <w:jc w:val="both"/>
        <w:rPr>
          <w:rFonts w:ascii="Arial" w:hAnsi="Arial"/>
          <w:b/>
          <w:bCs/>
          <w:noProof w:val="0"/>
          <w:sz w:val="26"/>
          <w:szCs w:val="26"/>
          <w:u w:val="single"/>
          <w:rtl/>
        </w:rPr>
      </w:pPr>
    </w:p>
    <w:p w:rsidR="00442867" w:rsidRDefault="00442867" w:rsidP="00442867">
      <w:pPr>
        <w:spacing w:line="360" w:lineRule="auto"/>
        <w:ind w:left="720" w:hanging="720"/>
        <w:jc w:val="both"/>
        <w:rPr>
          <w:rFonts w:ascii="Arial" w:hAnsi="Arial"/>
          <w:b/>
          <w:bCs/>
          <w:noProof w:val="0"/>
          <w:sz w:val="26"/>
          <w:szCs w:val="26"/>
          <w:u w:val="single"/>
          <w:rtl/>
        </w:rPr>
      </w:pPr>
      <w:r>
        <w:rPr>
          <w:rFonts w:ascii="Arial" w:hAnsi="Arial"/>
          <w:b/>
          <w:bCs/>
          <w:noProof w:val="0"/>
          <w:sz w:val="26"/>
          <w:szCs w:val="26"/>
          <w:u w:val="single"/>
          <w:rtl/>
        </w:rPr>
        <w:t>דיון והכרעה:</w:t>
      </w:r>
    </w:p>
    <w:p w:rsidR="00D31E1C" w:rsidRDefault="00D31E1C" w:rsidP="00442867">
      <w:pPr>
        <w:spacing w:line="360" w:lineRule="auto"/>
        <w:jc w:val="both"/>
        <w:rPr>
          <w:rFonts w:ascii="Arial" w:hAnsi="Arial"/>
          <w:noProof w:val="0"/>
          <w:rtl/>
        </w:rPr>
      </w:pPr>
    </w:p>
    <w:p w:rsidR="00442867" w:rsidRDefault="00D31E1C" w:rsidP="00D31E1C">
      <w:pPr>
        <w:spacing w:line="360" w:lineRule="auto"/>
        <w:ind w:left="720" w:hanging="720"/>
        <w:jc w:val="both"/>
        <w:rPr>
          <w:rFonts w:ascii="Arial" w:hAnsi="Arial"/>
          <w:noProof w:val="0"/>
          <w:rtl/>
        </w:rPr>
      </w:pPr>
      <w:r>
        <w:rPr>
          <w:rFonts w:ascii="Arial" w:hAnsi="Arial" w:hint="cs"/>
          <w:noProof w:val="0"/>
          <w:rtl/>
        </w:rPr>
        <w:t>46.</w:t>
      </w:r>
      <w:r>
        <w:rPr>
          <w:rFonts w:ascii="Arial" w:hAnsi="Arial" w:hint="cs"/>
          <w:noProof w:val="0"/>
          <w:rtl/>
        </w:rPr>
        <w:tab/>
        <w:t xml:space="preserve">נפתח בדברי </w:t>
      </w:r>
      <w:r w:rsidR="00442867">
        <w:rPr>
          <w:rFonts w:ascii="Arial" w:hAnsi="Arial"/>
          <w:noProof w:val="0"/>
          <w:rtl/>
        </w:rPr>
        <w:t>ההלכה הפסוקה והחקוקה. בית המשפט של ערעור אינו מתערב בהחלטות בימ"ש קמא אלא אם נפלה טעות עובדתית או משפטית ברורה על פני הפסק.</w:t>
      </w:r>
    </w:p>
    <w:p w:rsidR="003D1F00" w:rsidRDefault="003D1F00" w:rsidP="0053289F">
      <w:pPr>
        <w:pStyle w:val="ad"/>
        <w:spacing w:line="360" w:lineRule="auto"/>
        <w:jc w:val="both"/>
        <w:rPr>
          <w:rFonts w:ascii="David" w:hAnsi="David"/>
          <w:noProof w:val="0"/>
        </w:rPr>
      </w:pPr>
      <w:r>
        <w:rPr>
          <w:rFonts w:ascii="David" w:hAnsi="David"/>
          <w:rtl/>
        </w:rPr>
        <w:t>הלכה פסוקה היא שאין זו דרכה של ערכאת הערעור להתערב בפסיקתה של הערכאה הדיונית אלא אם נפלו טעויות משפטיות או עובדתיות על פני הפסק (ראו</w:t>
      </w:r>
      <w:r w:rsidR="0053289F">
        <w:rPr>
          <w:rFonts w:ascii="David" w:hAnsi="David" w:hint="cs"/>
          <w:rtl/>
        </w:rPr>
        <w:t>:</w:t>
      </w:r>
      <w:r>
        <w:rPr>
          <w:rFonts w:ascii="David" w:hAnsi="David"/>
          <w:rtl/>
        </w:rPr>
        <w:t xml:space="preserve"> ע"א 6768/01‏ </w:t>
      </w:r>
      <w:r>
        <w:rPr>
          <w:rFonts w:ascii="David" w:hAnsi="David"/>
          <w:b/>
          <w:bCs/>
          <w:rtl/>
        </w:rPr>
        <w:t>רגב נ' מדינת ישראל</w:t>
      </w:r>
      <w:r>
        <w:rPr>
          <w:rFonts w:ascii="David" w:hAnsi="David"/>
          <w:rtl/>
        </w:rPr>
        <w:t xml:space="preserve">, פ"ד נט(4) 625, 631 (2004); ע"א 1242/04 </w:t>
      </w:r>
      <w:r>
        <w:rPr>
          <w:rFonts w:ascii="David" w:hAnsi="David"/>
          <w:b/>
          <w:bCs/>
          <w:rtl/>
        </w:rPr>
        <w:t>ש. גמליאל חברה לבנין ופיתוח בע"מ נ' ש. ארצי חברה להשקעות בע"מ</w:t>
      </w:r>
      <w:r>
        <w:rPr>
          <w:rFonts w:ascii="David" w:hAnsi="David"/>
          <w:rtl/>
        </w:rPr>
        <w:t>, בפסקה 16 (</w:t>
      </w:r>
      <w:r w:rsidR="0053289F">
        <w:rPr>
          <w:rFonts w:ascii="David" w:hAnsi="David"/>
          <w:rtl/>
        </w:rPr>
        <w:t>11.9.2006)</w:t>
      </w:r>
      <w:r w:rsidR="0053289F">
        <w:rPr>
          <w:rFonts w:ascii="David" w:hAnsi="David" w:hint="cs"/>
          <w:rtl/>
        </w:rPr>
        <w:t xml:space="preserve">; </w:t>
      </w:r>
      <w:r>
        <w:rPr>
          <w:rFonts w:ascii="David" w:hAnsi="David"/>
          <w:rtl/>
        </w:rPr>
        <w:t xml:space="preserve">ע"א 6235/15 </w:t>
      </w:r>
      <w:r>
        <w:rPr>
          <w:rFonts w:ascii="David" w:hAnsi="David"/>
          <w:b/>
          <w:bCs/>
          <w:rtl/>
        </w:rPr>
        <w:t>חלאק נ' כריים</w:t>
      </w:r>
      <w:r>
        <w:rPr>
          <w:rFonts w:ascii="David" w:hAnsi="David"/>
          <w:rtl/>
        </w:rPr>
        <w:t xml:space="preserve">, בפסקה 19 וההפניות שם (15.2.2017)). </w:t>
      </w:r>
    </w:p>
    <w:p w:rsidR="003D1F00" w:rsidRDefault="003D1F00" w:rsidP="003D1F00">
      <w:pPr>
        <w:pStyle w:val="ad"/>
        <w:spacing w:line="360" w:lineRule="auto"/>
        <w:jc w:val="both"/>
        <w:rPr>
          <w:rFonts w:ascii="David" w:hAnsi="David"/>
          <w:rtl/>
        </w:rPr>
      </w:pPr>
    </w:p>
    <w:p w:rsidR="003D1F00" w:rsidRDefault="003D1F00" w:rsidP="003D1F00">
      <w:pPr>
        <w:pStyle w:val="ad"/>
        <w:spacing w:line="360" w:lineRule="auto"/>
        <w:jc w:val="both"/>
        <w:rPr>
          <w:rFonts w:ascii="David" w:hAnsi="David"/>
        </w:rPr>
      </w:pPr>
      <w:r>
        <w:rPr>
          <w:rFonts w:ascii="David" w:hAnsi="David" w:hint="cs"/>
          <w:rtl/>
        </w:rPr>
        <w:t>ראו</w:t>
      </w:r>
      <w:r w:rsidR="0053289F">
        <w:rPr>
          <w:rFonts w:ascii="David" w:hAnsi="David" w:hint="cs"/>
          <w:rtl/>
        </w:rPr>
        <w:t xml:space="preserve"> גם</w:t>
      </w:r>
      <w:r>
        <w:rPr>
          <w:rFonts w:ascii="David" w:hAnsi="David" w:hint="cs"/>
          <w:rtl/>
        </w:rPr>
        <w:t xml:space="preserve"> : ע"א 8688/22 </w:t>
      </w:r>
      <w:r w:rsidRPr="003D1F00">
        <w:rPr>
          <w:rFonts w:ascii="David" w:hAnsi="David" w:hint="cs"/>
          <w:b/>
          <w:bCs/>
          <w:rtl/>
        </w:rPr>
        <w:t>איפרגן נ' הרב אבו חצירה ואחרים</w:t>
      </w:r>
      <w:r>
        <w:rPr>
          <w:rFonts w:ascii="David" w:hAnsi="David" w:hint="cs"/>
          <w:rtl/>
        </w:rPr>
        <w:t xml:space="preserve"> (25.7.2022) , בהרכב כב' השופטים גרוסקופף,שטיין, כבוב.</w:t>
      </w:r>
    </w:p>
    <w:p w:rsidR="00E54971" w:rsidRDefault="003D1F00" w:rsidP="00E54971">
      <w:pPr>
        <w:spacing w:line="360" w:lineRule="auto"/>
        <w:ind w:left="1440" w:hanging="720"/>
        <w:jc w:val="both"/>
        <w:rPr>
          <w:rFonts w:ascii="David" w:hAnsi="David"/>
          <w:b/>
          <w:bCs/>
          <w:noProof w:val="0"/>
          <w:rtl/>
        </w:rPr>
      </w:pPr>
      <w:r w:rsidRPr="0053289F">
        <w:rPr>
          <w:rFonts w:ascii="David" w:hAnsi="David"/>
          <w:noProof w:val="0"/>
          <w:rtl/>
        </w:rPr>
        <w:tab/>
        <w:t>"</w:t>
      </w:r>
      <w:r w:rsidRPr="0053289F">
        <w:rPr>
          <w:rFonts w:ascii="David" w:hAnsi="David"/>
          <w:b/>
          <w:bCs/>
          <w:rtl/>
        </w:rPr>
        <w:t xml:space="preserve">כידוע, אין זו מדרכה של ערכאת הערעור להתערב בממצאים עובדתיים אשר נקבעו על ידי הערכאה הדיונית, ואשר מבוססים על התרשמותה הישירה מהעדים ומחומר הראיות (ראו מיני רבים: </w:t>
      </w:r>
      <w:hyperlink r:id="rId9" w:history="1">
        <w:r w:rsidRPr="0053289F">
          <w:rPr>
            <w:rStyle w:val="Hyperlink"/>
            <w:rFonts w:ascii="David" w:hAnsi="David"/>
            <w:b/>
            <w:bCs/>
            <w:color w:val="auto"/>
            <w:u w:val="none"/>
            <w:rtl/>
          </w:rPr>
          <w:t>ע"א 4554/19</w:t>
        </w:r>
      </w:hyperlink>
      <w:r w:rsidRPr="0053289F">
        <w:rPr>
          <w:rFonts w:ascii="David" w:hAnsi="David"/>
          <w:b/>
          <w:bCs/>
          <w:rtl/>
        </w:rPr>
        <w:t xml:space="preserve"> </w:t>
      </w:r>
      <w:r w:rsidRPr="0053289F">
        <w:rPr>
          <w:rFonts w:ascii="David" w:hAnsi="David"/>
          <w:b/>
          <w:bCs/>
          <w:sz w:val="22"/>
          <w:rtl/>
        </w:rPr>
        <w:t>פלדמן איבזור רכב בע"מ נ' שחם, פסקה 7</w:t>
      </w:r>
      <w:r w:rsidRPr="0053289F">
        <w:rPr>
          <w:rFonts w:ascii="David" w:hAnsi="David"/>
          <w:b/>
          <w:bCs/>
          <w:rtl/>
        </w:rPr>
        <w:t xml:space="preserve"> </w:t>
      </w:r>
      <w:r w:rsidRPr="0053289F">
        <w:rPr>
          <w:rFonts w:ascii="David" w:hAnsi="David"/>
          <w:b/>
          <w:bCs/>
          <w:sz w:val="22"/>
          <w:rtl/>
        </w:rPr>
        <w:t xml:space="preserve">[פורסם בנבו] </w:t>
      </w:r>
      <w:r w:rsidRPr="0053289F">
        <w:rPr>
          <w:rFonts w:ascii="David" w:hAnsi="David"/>
          <w:b/>
          <w:bCs/>
          <w:rtl/>
        </w:rPr>
        <w:t xml:space="preserve">(18.11.2020); </w:t>
      </w:r>
      <w:hyperlink r:id="rId10" w:history="1">
        <w:r w:rsidRPr="0053289F">
          <w:rPr>
            <w:rStyle w:val="Hyperlink"/>
            <w:rFonts w:ascii="David" w:hAnsi="David"/>
            <w:b/>
            <w:bCs/>
            <w:color w:val="auto"/>
            <w:u w:val="none"/>
            <w:rtl/>
          </w:rPr>
          <w:t>ע"א 3634/20</w:t>
        </w:r>
      </w:hyperlink>
      <w:r w:rsidRPr="0053289F">
        <w:rPr>
          <w:rFonts w:ascii="David" w:hAnsi="David"/>
          <w:b/>
          <w:bCs/>
          <w:rtl/>
        </w:rPr>
        <w:t xml:space="preserve"> </w:t>
      </w:r>
      <w:r w:rsidRPr="0053289F">
        <w:rPr>
          <w:rFonts w:ascii="David" w:hAnsi="David"/>
          <w:b/>
          <w:bCs/>
          <w:sz w:val="22"/>
          <w:rtl/>
        </w:rPr>
        <w:t>מנורה מבטחים ביטוח בע"מ נ' קידישמן, פסקה 56</w:t>
      </w:r>
      <w:r w:rsidRPr="0053289F">
        <w:rPr>
          <w:rFonts w:ascii="David" w:hAnsi="David"/>
          <w:b/>
          <w:bCs/>
          <w:rtl/>
        </w:rPr>
        <w:t xml:space="preserve"> </w:t>
      </w:r>
      <w:r w:rsidRPr="0053289F">
        <w:rPr>
          <w:rFonts w:ascii="David" w:hAnsi="David"/>
          <w:b/>
          <w:bCs/>
          <w:sz w:val="22"/>
          <w:rtl/>
        </w:rPr>
        <w:t xml:space="preserve">[פורסם בנבו] </w:t>
      </w:r>
      <w:r w:rsidRPr="0053289F">
        <w:rPr>
          <w:rFonts w:ascii="David" w:hAnsi="David"/>
          <w:b/>
          <w:bCs/>
          <w:rtl/>
        </w:rPr>
        <w:t xml:space="preserve">(26.7.2022); </w:t>
      </w:r>
      <w:hyperlink r:id="rId11" w:history="1">
        <w:r w:rsidRPr="0053289F">
          <w:rPr>
            <w:rStyle w:val="Hyperlink"/>
            <w:rFonts w:ascii="David" w:hAnsi="David"/>
            <w:b/>
            <w:bCs/>
            <w:color w:val="auto"/>
            <w:u w:val="none"/>
            <w:rtl/>
          </w:rPr>
          <w:t>ע"א 6458/21</w:t>
        </w:r>
      </w:hyperlink>
      <w:r w:rsidRPr="0053289F">
        <w:rPr>
          <w:rFonts w:ascii="David" w:hAnsi="David"/>
          <w:b/>
          <w:bCs/>
          <w:rtl/>
        </w:rPr>
        <w:t xml:space="preserve"> </w:t>
      </w:r>
      <w:r w:rsidRPr="0053289F">
        <w:rPr>
          <w:rFonts w:ascii="David" w:hAnsi="David"/>
          <w:b/>
          <w:bCs/>
          <w:sz w:val="22"/>
          <w:rtl/>
        </w:rPr>
        <w:t>בן שושן נ' פלונית, פסקה 2</w:t>
      </w:r>
      <w:r w:rsidRPr="0053289F">
        <w:rPr>
          <w:rFonts w:ascii="David" w:hAnsi="David"/>
          <w:b/>
          <w:bCs/>
          <w:rtl/>
        </w:rPr>
        <w:t xml:space="preserve"> </w:t>
      </w:r>
      <w:r w:rsidRPr="0053289F">
        <w:rPr>
          <w:rFonts w:ascii="David" w:hAnsi="David"/>
          <w:b/>
          <w:bCs/>
          <w:sz w:val="22"/>
          <w:rtl/>
        </w:rPr>
        <w:t xml:space="preserve">[פורסם בנבו] </w:t>
      </w:r>
      <w:r w:rsidRPr="0053289F">
        <w:rPr>
          <w:rFonts w:ascii="David" w:hAnsi="David"/>
          <w:b/>
          <w:bCs/>
          <w:rtl/>
        </w:rPr>
        <w:t xml:space="preserve">(5.3.2023)). התערבות כזו תיעשה אך במקרים חריגים, </w:t>
      </w:r>
      <w:r w:rsidRPr="0053289F">
        <w:rPr>
          <w:rFonts w:ascii="David" w:hAnsi="David"/>
          <w:b/>
          <w:bCs/>
          <w:sz w:val="28"/>
          <w:shd w:val="clear" w:color="auto" w:fill="FFFFFF"/>
          <w:rtl/>
        </w:rPr>
        <w:t>בהם מסקנות הערכאה הדיונית אינן מתיישבות באופן מובהק עם הגיונם של הדברים והשכל הישר, או כאשר נעלמו מערכאה זו עובדות מהותיות</w:t>
      </w:r>
      <w:r w:rsidRPr="0053289F">
        <w:rPr>
          <w:rFonts w:ascii="David" w:hAnsi="David"/>
          <w:b/>
          <w:bCs/>
          <w:rtl/>
        </w:rPr>
        <w:t xml:space="preserve"> (</w:t>
      </w:r>
      <w:hyperlink r:id="rId12" w:history="1">
        <w:r w:rsidRPr="0053289F">
          <w:rPr>
            <w:rStyle w:val="Hyperlink"/>
            <w:rFonts w:ascii="David" w:hAnsi="David"/>
            <w:b/>
            <w:bCs/>
            <w:color w:val="auto"/>
            <w:u w:val="none"/>
            <w:rtl/>
          </w:rPr>
          <w:t>ע"א 2786/18</w:t>
        </w:r>
      </w:hyperlink>
      <w:r w:rsidRPr="0053289F">
        <w:rPr>
          <w:rFonts w:ascii="David" w:hAnsi="David"/>
          <w:b/>
          <w:bCs/>
          <w:rtl/>
        </w:rPr>
        <w:t xml:space="preserve"> </w:t>
      </w:r>
      <w:r w:rsidRPr="0053289F">
        <w:rPr>
          <w:rFonts w:ascii="David" w:hAnsi="David"/>
          <w:b/>
          <w:bCs/>
          <w:sz w:val="22"/>
          <w:rtl/>
        </w:rPr>
        <w:t>בכר נ' קופרלי, פסקה 46 [פורסם בנבו] (</w:t>
      </w:r>
      <w:r w:rsidRPr="0053289F">
        <w:rPr>
          <w:rFonts w:ascii="David" w:hAnsi="David"/>
          <w:b/>
          <w:bCs/>
          <w:rtl/>
        </w:rPr>
        <w:t xml:space="preserve">30.12.2021); </w:t>
      </w:r>
      <w:hyperlink r:id="rId13" w:history="1">
        <w:r w:rsidRPr="0053289F">
          <w:rPr>
            <w:rStyle w:val="Hyperlink"/>
            <w:rFonts w:ascii="David" w:hAnsi="David"/>
            <w:b/>
            <w:bCs/>
            <w:color w:val="auto"/>
            <w:u w:val="none"/>
            <w:rtl/>
          </w:rPr>
          <w:t>ע"א 6277/19</w:t>
        </w:r>
      </w:hyperlink>
      <w:r w:rsidRPr="0053289F">
        <w:rPr>
          <w:rFonts w:ascii="David" w:hAnsi="David"/>
          <w:b/>
          <w:bCs/>
          <w:rtl/>
        </w:rPr>
        <w:t xml:space="preserve"> </w:t>
      </w:r>
      <w:r w:rsidRPr="0053289F">
        <w:rPr>
          <w:rFonts w:ascii="David" w:hAnsi="David"/>
          <w:b/>
          <w:bCs/>
          <w:sz w:val="22"/>
          <w:rtl/>
        </w:rPr>
        <w:t xml:space="preserve">הרמן נ' וייס, פסקה 26 [פורסם בנבו] </w:t>
      </w:r>
      <w:r w:rsidR="0053289F">
        <w:rPr>
          <w:rFonts w:ascii="David" w:hAnsi="David"/>
          <w:b/>
          <w:bCs/>
          <w:rtl/>
        </w:rPr>
        <w:t>(15.3.2022)).</w:t>
      </w:r>
      <w:r w:rsidR="0053289F">
        <w:rPr>
          <w:rFonts w:ascii="David" w:hAnsi="David" w:hint="cs"/>
          <w:b/>
          <w:bCs/>
          <w:rtl/>
        </w:rPr>
        <w:t>..</w:t>
      </w:r>
      <w:r w:rsidRPr="0053289F">
        <w:rPr>
          <w:rFonts w:ascii="David" w:hAnsi="David"/>
          <w:b/>
          <w:bCs/>
          <w:rtl/>
        </w:rPr>
        <w:t>".</w:t>
      </w:r>
      <w:r w:rsidRPr="0053289F">
        <w:rPr>
          <w:rFonts w:ascii="David" w:hAnsi="David"/>
          <w:b/>
          <w:bCs/>
          <w:noProof w:val="0"/>
          <w:rtl/>
        </w:rPr>
        <w:t xml:space="preserve"> </w:t>
      </w:r>
    </w:p>
    <w:p w:rsidR="003D1F00" w:rsidRPr="00E54971" w:rsidRDefault="003D1F00" w:rsidP="00E54971">
      <w:pPr>
        <w:spacing w:line="360" w:lineRule="auto"/>
        <w:ind w:left="1440" w:hanging="720"/>
        <w:jc w:val="both"/>
        <w:rPr>
          <w:rFonts w:ascii="David" w:hAnsi="David"/>
          <w:b/>
          <w:bCs/>
          <w:noProof w:val="0"/>
          <w:rtl/>
        </w:rPr>
      </w:pPr>
      <w:r w:rsidRPr="003D1F00">
        <w:rPr>
          <w:rFonts w:ascii="Arial" w:hAnsi="Arial" w:hint="cs"/>
          <w:noProof w:val="0"/>
          <w:rtl/>
        </w:rPr>
        <w:t>(שם, פסקה 8)</w:t>
      </w:r>
      <w:r>
        <w:rPr>
          <w:rFonts w:ascii="Arial" w:hAnsi="Arial" w:hint="cs"/>
          <w:noProof w:val="0"/>
          <w:rtl/>
        </w:rPr>
        <w:t>.</w:t>
      </w:r>
    </w:p>
    <w:p w:rsidR="003D1F00" w:rsidRDefault="0053289F" w:rsidP="0053289F">
      <w:pPr>
        <w:spacing w:line="360" w:lineRule="auto"/>
        <w:ind w:left="1440" w:hanging="720"/>
        <w:jc w:val="both"/>
        <w:rPr>
          <w:rFonts w:ascii="Arial" w:hAnsi="Arial"/>
          <w:noProof w:val="0"/>
          <w:rtl/>
        </w:rPr>
      </w:pPr>
      <w:r>
        <w:rPr>
          <w:rFonts w:ascii="Arial" w:hAnsi="Arial" w:hint="cs"/>
          <w:noProof w:val="0"/>
          <w:rtl/>
        </w:rPr>
        <w:t>כפי שיובהר להלן, הדברים נכונ</w:t>
      </w:r>
      <w:r w:rsidR="003D1F00">
        <w:rPr>
          <w:rFonts w:ascii="Arial" w:hAnsi="Arial" w:hint="cs"/>
          <w:noProof w:val="0"/>
          <w:rtl/>
        </w:rPr>
        <w:t xml:space="preserve">ים וחלים לטעמי </w:t>
      </w:r>
      <w:r>
        <w:rPr>
          <w:rFonts w:ascii="Arial" w:hAnsi="Arial" w:hint="cs"/>
          <w:noProof w:val="0"/>
          <w:rtl/>
        </w:rPr>
        <w:t>גם</w:t>
      </w:r>
      <w:r w:rsidR="003D1F00">
        <w:rPr>
          <w:rFonts w:ascii="Arial" w:hAnsi="Arial" w:hint="cs"/>
          <w:noProof w:val="0"/>
          <w:rtl/>
        </w:rPr>
        <w:t xml:space="preserve"> בענייננו.</w:t>
      </w:r>
    </w:p>
    <w:p w:rsidR="003D1F00" w:rsidRPr="003D1F00" w:rsidRDefault="003D1F00" w:rsidP="003D1F00">
      <w:pPr>
        <w:spacing w:line="360" w:lineRule="auto"/>
        <w:ind w:left="1440" w:hanging="720"/>
        <w:jc w:val="both"/>
        <w:rPr>
          <w:rFonts w:ascii="Arial" w:hAnsi="Arial"/>
          <w:noProof w:val="0"/>
          <w:rtl/>
        </w:rPr>
      </w:pPr>
    </w:p>
    <w:p w:rsidR="002F0895" w:rsidRDefault="00D31E1C" w:rsidP="00E54971">
      <w:pPr>
        <w:spacing w:line="360" w:lineRule="auto"/>
        <w:ind w:left="720" w:hanging="720"/>
        <w:jc w:val="both"/>
        <w:rPr>
          <w:rFonts w:ascii="Arial" w:hAnsi="Arial"/>
          <w:noProof w:val="0"/>
          <w:rtl/>
        </w:rPr>
      </w:pPr>
      <w:r>
        <w:rPr>
          <w:rFonts w:ascii="Arial" w:hAnsi="Arial" w:hint="cs"/>
          <w:noProof w:val="0"/>
          <w:rtl/>
        </w:rPr>
        <w:t>47.</w:t>
      </w:r>
      <w:r>
        <w:rPr>
          <w:rFonts w:ascii="Arial" w:hAnsi="Arial" w:hint="cs"/>
          <w:noProof w:val="0"/>
          <w:rtl/>
        </w:rPr>
        <w:tab/>
      </w:r>
      <w:r w:rsidR="002F0895" w:rsidRPr="00E65B3C">
        <w:rPr>
          <w:rFonts w:ascii="Arial" w:hAnsi="Arial" w:hint="cs"/>
          <w:noProof w:val="0"/>
          <w:rtl/>
        </w:rPr>
        <w:t>דומה כי יפים לענייננו דברי כב' המשנה לנשיאה דאז השופט רובינשטיין, במסגרת</w:t>
      </w:r>
      <w:r w:rsidR="002F0895" w:rsidRPr="00E65B3C">
        <w:rPr>
          <w:rFonts w:ascii="David" w:hAnsi="David" w:hint="cs"/>
          <w:color w:val="000000"/>
          <w:rtl/>
        </w:rPr>
        <w:t xml:space="preserve"> </w:t>
      </w:r>
      <w:r w:rsidR="002F0895" w:rsidRPr="00E65B3C">
        <w:rPr>
          <w:rFonts w:ascii="David" w:hAnsi="David"/>
          <w:color w:val="000000"/>
          <w:rtl/>
        </w:rPr>
        <w:t>רע</w:t>
      </w:r>
      <w:r w:rsidR="002F0895" w:rsidRPr="00E65B3C">
        <w:rPr>
          <w:rFonts w:ascii="David" w:hAnsi="David" w:hint="cs"/>
          <w:color w:val="000000"/>
          <w:rtl/>
        </w:rPr>
        <w:t>"</w:t>
      </w:r>
      <w:r w:rsidR="002F0895" w:rsidRPr="00E65B3C">
        <w:rPr>
          <w:rFonts w:ascii="David" w:hAnsi="David"/>
          <w:color w:val="000000"/>
          <w:rtl/>
        </w:rPr>
        <w:t>א 8775/15</w:t>
      </w:r>
      <w:r w:rsidR="002F0895" w:rsidRPr="00E65B3C">
        <w:rPr>
          <w:rFonts w:ascii="David" w:hAnsi="David" w:hint="cs"/>
          <w:color w:val="000000"/>
          <w:rtl/>
        </w:rPr>
        <w:t xml:space="preserve"> </w:t>
      </w:r>
      <w:r w:rsidR="002F0895" w:rsidRPr="00E65B3C">
        <w:rPr>
          <w:rFonts w:ascii="David" w:hAnsi="David"/>
          <w:b/>
          <w:bCs/>
          <w:color w:val="000000"/>
          <w:rtl/>
        </w:rPr>
        <w:t>פלונית נ' פלוני</w:t>
      </w:r>
      <w:r w:rsidR="002F0895" w:rsidRPr="00E65B3C">
        <w:rPr>
          <w:rFonts w:ascii="Arial" w:hAnsi="Arial" w:hint="cs"/>
          <w:noProof w:val="0"/>
          <w:rtl/>
        </w:rPr>
        <w:t>, פסקה י"א (10.5.2016):</w:t>
      </w:r>
    </w:p>
    <w:p w:rsidR="00442867" w:rsidRPr="003D4EDD" w:rsidRDefault="002F0895" w:rsidP="003D4EDD">
      <w:pPr>
        <w:spacing w:line="360" w:lineRule="auto"/>
        <w:ind w:left="1440"/>
        <w:jc w:val="both"/>
        <w:rPr>
          <w:rFonts w:ascii="David" w:hAnsi="David"/>
          <w:noProof w:val="0"/>
          <w:rtl/>
        </w:rPr>
      </w:pPr>
      <w:r w:rsidRPr="00E65B3C">
        <w:rPr>
          <w:rFonts w:ascii="David" w:hAnsi="David"/>
          <w:b/>
          <w:bCs/>
          <w:rtl/>
        </w:rPr>
        <w:t xml:space="preserve">"החטא הקדמון" בעיניי הוא היעדרו של הסכם כתוב בעניין שכר הטרחה. מוטב וראוי כי צדדים לחוזה לשירותי ייצוג משפטי יעלו את הסכמתם בפירוט על הכתב (ראו </w:t>
      </w:r>
      <w:hyperlink r:id="rId14" w:history="1">
        <w:r w:rsidRPr="00E65B3C">
          <w:rPr>
            <w:rStyle w:val="Hyperlink"/>
            <w:rFonts w:ascii="David" w:hAnsi="David"/>
            <w:b/>
            <w:bCs/>
            <w:color w:val="auto"/>
            <w:u w:val="none"/>
            <w:rtl/>
          </w:rPr>
          <w:t>רע"א 4723/05</w:t>
        </w:r>
      </w:hyperlink>
      <w:r w:rsidRPr="00E65B3C">
        <w:rPr>
          <w:rFonts w:ascii="David" w:hAnsi="David"/>
          <w:b/>
          <w:bCs/>
          <w:rtl/>
        </w:rPr>
        <w:t xml:space="preserve"> לוי נ' ברוש, פסקה ד(4) (2005)). אכן, לא אחת, בגדרי אמון </w:t>
      </w:r>
      <w:r w:rsidRPr="00E65B3C">
        <w:rPr>
          <w:rFonts w:ascii="David" w:hAnsi="David"/>
          <w:b/>
          <w:bCs/>
          <w:rtl/>
        </w:rPr>
        <w:lastRenderedPageBreak/>
        <w:t>בין הצדדים, אין נחתם הסכם שכר טרחה; דבר זה שגוי ועלול להסתיים בסכסוכים כמו זה שלפנינו, משנתפרדה ה"חבילה"</w:t>
      </w:r>
      <w:r>
        <w:rPr>
          <w:rFonts w:ascii="David" w:hAnsi="David" w:hint="cs"/>
          <w:noProof w:val="0"/>
          <w:rtl/>
        </w:rPr>
        <w:t>.</w:t>
      </w:r>
    </w:p>
    <w:p w:rsidR="00D31E1C" w:rsidRDefault="00D31E1C" w:rsidP="00D31E1C">
      <w:pPr>
        <w:spacing w:line="360" w:lineRule="auto"/>
        <w:ind w:left="720" w:hanging="720"/>
        <w:jc w:val="both"/>
        <w:rPr>
          <w:rFonts w:ascii="Arial" w:hAnsi="Arial"/>
          <w:noProof w:val="0"/>
          <w:rtl/>
        </w:rPr>
      </w:pPr>
    </w:p>
    <w:p w:rsidR="00E65B3C" w:rsidRPr="00E65B3C" w:rsidRDefault="00D31E1C" w:rsidP="008D5807">
      <w:pPr>
        <w:spacing w:line="360" w:lineRule="auto"/>
        <w:ind w:left="720" w:hanging="720"/>
        <w:jc w:val="both"/>
        <w:rPr>
          <w:rFonts w:ascii="David" w:hAnsi="David"/>
          <w:noProof w:val="0"/>
          <w:rtl/>
        </w:rPr>
      </w:pPr>
      <w:r w:rsidRPr="00E65B3C">
        <w:rPr>
          <w:rFonts w:ascii="Arial" w:hAnsi="Arial" w:hint="cs"/>
          <w:noProof w:val="0"/>
          <w:rtl/>
        </w:rPr>
        <w:t>48</w:t>
      </w:r>
      <w:r w:rsidR="002F0895">
        <w:rPr>
          <w:rFonts w:ascii="Arial" w:hAnsi="Arial" w:hint="cs"/>
          <w:noProof w:val="0"/>
          <w:rtl/>
        </w:rPr>
        <w:t>.</w:t>
      </w:r>
      <w:r w:rsidR="002F0895" w:rsidRPr="002F0895">
        <w:rPr>
          <w:rFonts w:ascii="Arial" w:hAnsi="Arial" w:hint="cs"/>
          <w:noProof w:val="0"/>
          <w:rtl/>
        </w:rPr>
        <w:t xml:space="preserve"> </w:t>
      </w:r>
      <w:r w:rsidR="002F0895">
        <w:rPr>
          <w:rFonts w:ascii="Arial" w:hAnsi="Arial"/>
          <w:noProof w:val="0"/>
          <w:rtl/>
        </w:rPr>
        <w:tab/>
      </w:r>
      <w:r w:rsidR="008D5807">
        <w:rPr>
          <w:rFonts w:ascii="Arial" w:hAnsi="Arial" w:hint="cs"/>
          <w:noProof w:val="0"/>
          <w:rtl/>
        </w:rPr>
        <w:t>במקרה דנן קיימים אמנם שני הסכמים בכתב, אך עולה השאלה האם שירותים משפטיים שניתנו בשלב מאוחר להם הנובעים לפי הנטען מהסכמות בעל-פה</w:t>
      </w:r>
      <w:r w:rsidR="005D38E8">
        <w:rPr>
          <w:rFonts w:ascii="Arial" w:hAnsi="Arial" w:hint="cs"/>
          <w:noProof w:val="0"/>
          <w:rtl/>
        </w:rPr>
        <w:t xml:space="preserve"> או נובעים מאותם הסכמים</w:t>
      </w:r>
      <w:r w:rsidR="008D5807">
        <w:rPr>
          <w:rFonts w:ascii="Arial" w:hAnsi="Arial" w:hint="cs"/>
          <w:noProof w:val="0"/>
          <w:rtl/>
        </w:rPr>
        <w:t xml:space="preserve">, מקימים זכאות לשכר טרחה. </w:t>
      </w:r>
      <w:r w:rsidR="002F0895">
        <w:rPr>
          <w:rFonts w:ascii="Arial" w:hAnsi="Arial" w:hint="cs"/>
          <w:noProof w:val="0"/>
          <w:rtl/>
        </w:rPr>
        <w:t xml:space="preserve">השאלה המרכזית שעולה </w:t>
      </w:r>
      <w:r w:rsidR="008D5807">
        <w:rPr>
          <w:rFonts w:ascii="Arial" w:hAnsi="Arial" w:hint="cs"/>
          <w:noProof w:val="0"/>
          <w:rtl/>
        </w:rPr>
        <w:t xml:space="preserve">בהקשר הזה, </w:t>
      </w:r>
      <w:r w:rsidR="002F0895">
        <w:rPr>
          <w:rFonts w:ascii="Arial" w:hAnsi="Arial" w:hint="cs"/>
          <w:noProof w:val="0"/>
          <w:rtl/>
        </w:rPr>
        <w:t xml:space="preserve">היא </w:t>
      </w:r>
      <w:r w:rsidR="002F0895">
        <w:rPr>
          <w:rFonts w:ascii="Arial" w:hAnsi="Arial"/>
          <w:noProof w:val="0"/>
          <w:rtl/>
        </w:rPr>
        <w:t>האם המערערת זכאית לקבל סכומים נוספים לאחר שהסתיימו 36 חודשי קצבה ראשונים</w:t>
      </w:r>
      <w:r w:rsidR="002F0895">
        <w:rPr>
          <w:rFonts w:ascii="Arial" w:hAnsi="Arial" w:hint="cs"/>
          <w:noProof w:val="0"/>
          <w:rtl/>
        </w:rPr>
        <w:t>?</w:t>
      </w:r>
      <w:r w:rsidR="002F0895">
        <w:rPr>
          <w:rFonts w:ascii="Arial" w:hAnsi="Arial"/>
          <w:noProof w:val="0"/>
          <w:rtl/>
        </w:rPr>
        <w:t xml:space="preserve"> כנ"ל ביחס לתביעה מ</w:t>
      </w:r>
      <w:r w:rsidR="002F0895">
        <w:rPr>
          <w:rFonts w:ascii="Arial" w:hAnsi="Arial" w:hint="cs"/>
          <w:noProof w:val="0"/>
          <w:rtl/>
        </w:rPr>
        <w:t xml:space="preserve">חברת </w:t>
      </w:r>
      <w:r w:rsidR="002F0895">
        <w:rPr>
          <w:rFonts w:ascii="Arial" w:hAnsi="Arial"/>
          <w:noProof w:val="0"/>
          <w:rtl/>
        </w:rPr>
        <w:t>הפניקס.</w:t>
      </w:r>
      <w:r w:rsidR="002F0895">
        <w:rPr>
          <w:rFonts w:ascii="Arial" w:hAnsi="Arial" w:hint="cs"/>
          <w:noProof w:val="0"/>
          <w:rtl/>
        </w:rPr>
        <w:t xml:space="preserve"> שאר הנושאים שעלו שיוריים לשתי סוגיות עיקריות אלה.</w:t>
      </w:r>
    </w:p>
    <w:p w:rsidR="00E65B3C" w:rsidRDefault="00E65B3C" w:rsidP="006F3E5C">
      <w:pPr>
        <w:spacing w:line="360" w:lineRule="auto"/>
        <w:ind w:left="720" w:hanging="720"/>
        <w:jc w:val="both"/>
        <w:rPr>
          <w:rFonts w:ascii="Arial" w:hAnsi="Arial"/>
          <w:noProof w:val="0"/>
          <w:rtl/>
        </w:rPr>
      </w:pPr>
    </w:p>
    <w:p w:rsidR="002F1001" w:rsidRPr="002F1001" w:rsidRDefault="00E65B3C" w:rsidP="002F1001">
      <w:pPr>
        <w:spacing w:line="360" w:lineRule="auto"/>
        <w:ind w:left="720" w:hanging="720"/>
        <w:jc w:val="both"/>
        <w:rPr>
          <w:rFonts w:ascii="David" w:hAnsi="David"/>
          <w:noProof w:val="0"/>
          <w:rtl/>
        </w:rPr>
      </w:pPr>
      <w:r w:rsidRPr="002F1001">
        <w:rPr>
          <w:rFonts w:ascii="David" w:hAnsi="David"/>
          <w:noProof w:val="0"/>
          <w:rtl/>
        </w:rPr>
        <w:t>49.</w:t>
      </w:r>
      <w:r w:rsidRPr="002F1001">
        <w:rPr>
          <w:rFonts w:ascii="David" w:hAnsi="David"/>
          <w:noProof w:val="0"/>
          <w:rtl/>
        </w:rPr>
        <w:tab/>
      </w:r>
      <w:r w:rsidR="002F1001" w:rsidRPr="002F1001">
        <w:rPr>
          <w:rFonts w:ascii="David" w:hAnsi="David"/>
          <w:rtl/>
        </w:rPr>
        <w:t xml:space="preserve">כאשר בעל מקצוע כדוגמת עורך דין מעניק שירות מקצועי, עשויה לקום לו זכות לתשלום שכר בעבור עבודתו משני מקורות נורמטיביים שונים: דיני החוזים או דיני עשיית עושר ולא במשפט. במקרה החוזי, עסקינן בזכות לשכר מוסכם, ואילו במקרה המבוסס על דיני עשיית עושר ולא במשפט, המדובר בזכות לשכר ראוי (ראו: ע"א 6290/18 </w:t>
      </w:r>
      <w:r w:rsidR="002F1001" w:rsidRPr="002F1001">
        <w:rPr>
          <w:rFonts w:ascii="David" w:hAnsi="David"/>
          <w:b/>
          <w:bCs/>
          <w:rtl/>
        </w:rPr>
        <w:t>עזבון טמירה פינצ'וק ז"ל נ' הבנק הבינלאומי הראשון לישראל בע"מ</w:t>
      </w:r>
      <w:r w:rsidR="002F1001" w:rsidRPr="002F1001">
        <w:rPr>
          <w:rFonts w:ascii="David" w:hAnsi="David"/>
          <w:rtl/>
        </w:rPr>
        <w:t>, פסקה 40 לפסק דינו של כב' השופט גרוסקופף (ניתן בהסכמת כב' השופטים ברון ושטיין) (2.5.2021)</w:t>
      </w:r>
      <w:r w:rsidR="004C1A53">
        <w:rPr>
          <w:rFonts w:ascii="David" w:hAnsi="David" w:hint="cs"/>
          <w:rtl/>
        </w:rPr>
        <w:t xml:space="preserve"> (להלן: </w:t>
      </w:r>
      <w:r w:rsidR="004C1A53">
        <w:rPr>
          <w:rFonts w:ascii="David" w:hAnsi="David" w:hint="cs"/>
          <w:b/>
          <w:bCs/>
          <w:rtl/>
        </w:rPr>
        <w:t>"עניין פינצ'וק"</w:t>
      </w:r>
      <w:r w:rsidR="004C1A53">
        <w:rPr>
          <w:rFonts w:ascii="David" w:hAnsi="David" w:hint="cs"/>
          <w:rtl/>
        </w:rPr>
        <w:t>)</w:t>
      </w:r>
      <w:r w:rsidR="002F1001" w:rsidRPr="002F1001">
        <w:rPr>
          <w:rFonts w:ascii="David" w:hAnsi="David"/>
          <w:rtl/>
        </w:rPr>
        <w:t xml:space="preserve">; דניאל </w:t>
      </w:r>
      <w:hyperlink r:id="rId15" w:history="1">
        <w:r w:rsidR="002F1001" w:rsidRPr="002F1001">
          <w:rPr>
            <w:rStyle w:val="Hyperlink"/>
            <w:rFonts w:ascii="David" w:hAnsi="David"/>
            <w:b/>
            <w:color w:val="auto"/>
            <w:u w:val="none"/>
            <w:rtl/>
          </w:rPr>
          <w:t xml:space="preserve">פרידמן ואלרן שפירא בר-אור </w:t>
        </w:r>
        <w:r w:rsidR="002F1001" w:rsidRPr="002F1001">
          <w:rPr>
            <w:rStyle w:val="Hyperlink"/>
            <w:rFonts w:ascii="David" w:hAnsi="David"/>
            <w:bCs/>
            <w:color w:val="auto"/>
            <w:u w:val="none"/>
            <w:rtl/>
          </w:rPr>
          <w:t>דיני עשיית עושר ולא במשפט</w:t>
        </w:r>
      </w:hyperlink>
      <w:r w:rsidR="002F1001" w:rsidRPr="002F1001">
        <w:rPr>
          <w:rFonts w:ascii="David" w:hAnsi="David"/>
          <w:rtl/>
        </w:rPr>
        <w:t xml:space="preserve"> 242-235 (מהדורה שלישית, התשע"ה)</w:t>
      </w:r>
      <w:r w:rsidR="002F1001">
        <w:rPr>
          <w:rFonts w:ascii="David" w:hAnsi="David" w:hint="cs"/>
          <w:noProof w:val="0"/>
          <w:rtl/>
        </w:rPr>
        <w:t>).</w:t>
      </w:r>
    </w:p>
    <w:p w:rsidR="002F1001" w:rsidRDefault="002F1001" w:rsidP="006F3E5C">
      <w:pPr>
        <w:spacing w:line="360" w:lineRule="auto"/>
        <w:ind w:left="720" w:hanging="720"/>
        <w:jc w:val="both"/>
        <w:rPr>
          <w:rFonts w:ascii="Arial" w:hAnsi="Arial"/>
          <w:noProof w:val="0"/>
          <w:rtl/>
        </w:rPr>
      </w:pPr>
    </w:p>
    <w:p w:rsidR="004C1A53" w:rsidRDefault="002F1001" w:rsidP="005D38E8">
      <w:pPr>
        <w:spacing w:line="360" w:lineRule="auto"/>
        <w:ind w:left="720" w:hanging="720"/>
        <w:jc w:val="both"/>
        <w:rPr>
          <w:rFonts w:ascii="David" w:hAnsi="David"/>
          <w:noProof w:val="0"/>
          <w:rtl/>
        </w:rPr>
      </w:pPr>
      <w:r w:rsidRPr="00823A9F">
        <w:rPr>
          <w:rFonts w:ascii="David" w:hAnsi="David"/>
          <w:noProof w:val="0"/>
          <w:rtl/>
        </w:rPr>
        <w:t>50.</w:t>
      </w:r>
      <w:r w:rsidRPr="00823A9F">
        <w:rPr>
          <w:rFonts w:ascii="David" w:hAnsi="David"/>
          <w:noProof w:val="0"/>
          <w:rtl/>
        </w:rPr>
        <w:tab/>
      </w:r>
      <w:r w:rsidR="00160CA2" w:rsidRPr="00823A9F">
        <w:rPr>
          <w:rFonts w:ascii="David" w:hAnsi="David"/>
          <w:noProof w:val="0"/>
          <w:rtl/>
        </w:rPr>
        <w:t>יש לזכור כי בענייננו כן קיימים הסכמים בכתב</w:t>
      </w:r>
      <w:r w:rsidR="006B32B2" w:rsidRPr="00823A9F">
        <w:rPr>
          <w:rFonts w:ascii="David" w:hAnsi="David"/>
          <w:noProof w:val="0"/>
          <w:rtl/>
        </w:rPr>
        <w:t>.</w:t>
      </w:r>
      <w:r w:rsidR="00160CA2" w:rsidRPr="00823A9F">
        <w:rPr>
          <w:rFonts w:ascii="David" w:hAnsi="David"/>
          <w:noProof w:val="0"/>
          <w:rtl/>
        </w:rPr>
        <w:t xml:space="preserve"> לפיכך, </w:t>
      </w:r>
      <w:r w:rsidR="004C1A53" w:rsidRPr="00823A9F">
        <w:rPr>
          <w:rFonts w:ascii="David" w:hAnsi="David"/>
          <w:noProof w:val="0"/>
          <w:rtl/>
        </w:rPr>
        <w:t xml:space="preserve">עקרונית, </w:t>
      </w:r>
      <w:r w:rsidR="004C1A53" w:rsidRPr="00823A9F">
        <w:rPr>
          <w:rFonts w:ascii="David" w:hAnsi="David"/>
          <w:rtl/>
        </w:rPr>
        <w:t xml:space="preserve">משהוסדרה הזכות לשכר בגין עבודה על בסיס חוזי, וכל עוד עומד החוזה בתוקפו, התביעה </w:t>
      </w:r>
      <w:r w:rsidR="005D38E8">
        <w:rPr>
          <w:rFonts w:ascii="David" w:hAnsi="David"/>
          <w:rtl/>
        </w:rPr>
        <w:t>לשכר אמורה להיות מכוחו</w:t>
      </w:r>
      <w:r w:rsidR="006B32B2" w:rsidRPr="00823A9F">
        <w:rPr>
          <w:rFonts w:ascii="David" w:hAnsi="David"/>
          <w:rtl/>
        </w:rPr>
        <w:t xml:space="preserve">. זאת, באמצעות מנגנוני ההשלמה החוזיים הקבועים בחוק, כגון מנהג או הוראות השלמה דיספוזיטיביות, כדוגמת </w:t>
      </w:r>
      <w:hyperlink r:id="rId16" w:history="1">
        <w:r w:rsidR="006B32B2" w:rsidRPr="000D4866">
          <w:rPr>
            <w:rStyle w:val="Hyperlink"/>
            <w:rFonts w:ascii="David" w:hAnsi="David"/>
            <w:b/>
            <w:bCs/>
            <w:color w:val="auto"/>
            <w:u w:val="none"/>
            <w:rtl/>
          </w:rPr>
          <w:t>סעיפים 26</w:t>
        </w:r>
      </w:hyperlink>
      <w:r w:rsidR="006B32B2" w:rsidRPr="000D4866">
        <w:rPr>
          <w:rFonts w:ascii="David" w:hAnsi="David"/>
          <w:b/>
          <w:bCs/>
          <w:rtl/>
        </w:rPr>
        <w:t xml:space="preserve"> ו-</w:t>
      </w:r>
      <w:hyperlink r:id="rId17" w:history="1">
        <w:r w:rsidR="006B32B2" w:rsidRPr="000D4866">
          <w:rPr>
            <w:rStyle w:val="Hyperlink"/>
            <w:rFonts w:ascii="David" w:hAnsi="David"/>
            <w:b/>
            <w:bCs/>
            <w:color w:val="auto"/>
            <w:u w:val="none"/>
            <w:rtl/>
          </w:rPr>
          <w:t>46</w:t>
        </w:r>
      </w:hyperlink>
      <w:r w:rsidR="006B32B2" w:rsidRPr="000D4866">
        <w:rPr>
          <w:rFonts w:ascii="David" w:hAnsi="David"/>
          <w:b/>
          <w:bCs/>
          <w:rtl/>
        </w:rPr>
        <w:t xml:space="preserve"> ל</w:t>
      </w:r>
      <w:hyperlink r:id="rId18" w:history="1">
        <w:r w:rsidR="006B32B2" w:rsidRPr="000D4866">
          <w:rPr>
            <w:rStyle w:val="Hyperlink"/>
            <w:rFonts w:ascii="David" w:hAnsi="David"/>
            <w:b/>
            <w:bCs/>
            <w:color w:val="auto"/>
            <w:u w:val="none"/>
            <w:rtl/>
          </w:rPr>
          <w:t>חוק החוזים</w:t>
        </w:r>
      </w:hyperlink>
      <w:r w:rsidR="006B32B2" w:rsidRPr="000D4866">
        <w:rPr>
          <w:rFonts w:ascii="David" w:hAnsi="David"/>
          <w:b/>
          <w:bCs/>
          <w:rtl/>
        </w:rPr>
        <w:t xml:space="preserve"> </w:t>
      </w:r>
      <w:r w:rsidR="00823A9F" w:rsidRPr="000D4866">
        <w:rPr>
          <w:rFonts w:ascii="David" w:hAnsi="David"/>
          <w:b/>
          <w:bCs/>
          <w:rtl/>
        </w:rPr>
        <w:t xml:space="preserve">(חלק </w:t>
      </w:r>
      <w:r w:rsidR="006B32B2" w:rsidRPr="000D4866">
        <w:rPr>
          <w:rFonts w:ascii="David" w:hAnsi="David"/>
          <w:b/>
          <w:bCs/>
          <w:rtl/>
        </w:rPr>
        <w:t>הכללי)</w:t>
      </w:r>
      <w:r w:rsidR="005D38E8" w:rsidRPr="000D4866">
        <w:rPr>
          <w:rFonts w:ascii="David" w:hAnsi="David"/>
          <w:b/>
          <w:bCs/>
          <w:rtl/>
        </w:rPr>
        <w:t>,</w:t>
      </w:r>
      <w:r w:rsidR="00823A9F" w:rsidRPr="000D4866">
        <w:rPr>
          <w:rFonts w:ascii="David" w:hAnsi="David"/>
          <w:b/>
          <w:bCs/>
          <w:rtl/>
        </w:rPr>
        <w:t xml:space="preserve"> תשל"ג-1973 </w:t>
      </w:r>
      <w:r w:rsidR="00823A9F" w:rsidRPr="00823A9F">
        <w:rPr>
          <w:rFonts w:ascii="David" w:hAnsi="David"/>
          <w:rtl/>
        </w:rPr>
        <w:t xml:space="preserve">(להלן: </w:t>
      </w:r>
      <w:r w:rsidR="00823A9F" w:rsidRPr="00823A9F">
        <w:rPr>
          <w:rFonts w:ascii="David" w:hAnsi="David"/>
          <w:b/>
          <w:bCs/>
          <w:rtl/>
        </w:rPr>
        <w:t>"חוק החוזים"</w:t>
      </w:r>
      <w:r w:rsidR="00823A9F" w:rsidRPr="00823A9F">
        <w:rPr>
          <w:rFonts w:ascii="David" w:hAnsi="David"/>
          <w:rtl/>
        </w:rPr>
        <w:t>)</w:t>
      </w:r>
      <w:r w:rsidR="00160CA2" w:rsidRPr="00823A9F">
        <w:rPr>
          <w:rFonts w:ascii="David" w:hAnsi="David"/>
          <w:rtl/>
        </w:rPr>
        <w:t xml:space="preserve"> (</w:t>
      </w:r>
      <w:r w:rsidR="00160CA2" w:rsidRPr="00823A9F">
        <w:rPr>
          <w:rFonts w:ascii="David" w:hAnsi="David"/>
          <w:b/>
          <w:bCs/>
          <w:rtl/>
        </w:rPr>
        <w:t>עניין פינצ'וק</w:t>
      </w:r>
      <w:r w:rsidR="00160CA2" w:rsidRPr="00823A9F">
        <w:rPr>
          <w:rFonts w:ascii="David" w:hAnsi="David"/>
          <w:rtl/>
        </w:rPr>
        <w:t>, פסקה 41 וההפניות שם)</w:t>
      </w:r>
      <w:r w:rsidR="004C1A53" w:rsidRPr="00823A9F">
        <w:rPr>
          <w:rFonts w:ascii="David" w:hAnsi="David"/>
          <w:rtl/>
        </w:rPr>
        <w:t xml:space="preserve">. </w:t>
      </w:r>
    </w:p>
    <w:p w:rsidR="005D38E8" w:rsidRPr="00823A9F" w:rsidRDefault="005D38E8" w:rsidP="000D4866">
      <w:pPr>
        <w:spacing w:line="360" w:lineRule="auto"/>
        <w:ind w:left="720" w:hanging="720"/>
        <w:jc w:val="both"/>
        <w:rPr>
          <w:rFonts w:ascii="David" w:hAnsi="David"/>
          <w:noProof w:val="0"/>
          <w:rtl/>
        </w:rPr>
      </w:pPr>
      <w:r>
        <w:rPr>
          <w:rFonts w:ascii="David" w:hAnsi="David"/>
          <w:noProof w:val="0"/>
          <w:rtl/>
        </w:rPr>
        <w:tab/>
      </w:r>
      <w:r>
        <w:rPr>
          <w:rFonts w:hint="cs"/>
          <w:rtl/>
        </w:rPr>
        <w:t xml:space="preserve">מתן שכר ראוי מכוח דיני עשיית העושר ולא במשפט במקרה שבו </w:t>
      </w:r>
      <w:r>
        <w:rPr>
          <w:rtl/>
        </w:rPr>
        <w:t xml:space="preserve">נכרת הסכם, </w:t>
      </w:r>
      <w:r w:rsidR="000D4866">
        <w:rPr>
          <w:rFonts w:hint="cs"/>
          <w:rtl/>
        </w:rPr>
        <w:t>גם כן אפשרי</w:t>
      </w:r>
      <w:r>
        <w:rPr>
          <w:rFonts w:hint="cs"/>
          <w:rtl/>
        </w:rPr>
        <w:t xml:space="preserve">. </w:t>
      </w:r>
      <w:r w:rsidR="000D4866">
        <w:rPr>
          <w:rFonts w:hint="cs"/>
          <w:rtl/>
        </w:rPr>
        <w:t>כך</w:t>
      </w:r>
      <w:r>
        <w:rPr>
          <w:rFonts w:hint="cs"/>
          <w:rtl/>
        </w:rPr>
        <w:t xml:space="preserve"> </w:t>
      </w:r>
      <w:r w:rsidR="000D4866">
        <w:rPr>
          <w:rFonts w:hint="cs"/>
          <w:rtl/>
        </w:rPr>
        <w:t xml:space="preserve">למשל, כאשר </w:t>
      </w:r>
      <w:r>
        <w:rPr>
          <w:rFonts w:hint="cs"/>
          <w:rtl/>
        </w:rPr>
        <w:t>ההסכם</w:t>
      </w:r>
      <w:r>
        <w:rPr>
          <w:rtl/>
        </w:rPr>
        <w:t xml:space="preserve"> לא מסדיר את מתן טובת ההנאה בה עסקינן, </w:t>
      </w:r>
      <w:r w:rsidR="000D4866">
        <w:rPr>
          <w:rFonts w:hint="cs"/>
          <w:rtl/>
        </w:rPr>
        <w:t xml:space="preserve">אלא </w:t>
      </w:r>
      <w:r>
        <w:rPr>
          <w:rtl/>
        </w:rPr>
        <w:t>מדובר בעבודות נוספות שבוצעו על ידי נותן השירות, החורגות ממסגרת החוזה ומהסדריו</w:t>
      </w:r>
      <w:r w:rsidR="000D4866">
        <w:rPr>
          <w:rFonts w:hint="cs"/>
          <w:rtl/>
        </w:rPr>
        <w:t xml:space="preserve"> </w:t>
      </w:r>
      <w:r w:rsidR="000D4866" w:rsidRPr="00823A9F">
        <w:rPr>
          <w:rFonts w:ascii="David" w:hAnsi="David"/>
          <w:rtl/>
        </w:rPr>
        <w:t>(</w:t>
      </w:r>
      <w:r w:rsidR="000D4866" w:rsidRPr="00823A9F">
        <w:rPr>
          <w:rFonts w:ascii="David" w:hAnsi="David"/>
          <w:b/>
          <w:bCs/>
          <w:rtl/>
        </w:rPr>
        <w:t>עניין פינצ'וק</w:t>
      </w:r>
      <w:r w:rsidR="000D4866" w:rsidRPr="00823A9F">
        <w:rPr>
          <w:rFonts w:ascii="David" w:hAnsi="David"/>
          <w:rtl/>
        </w:rPr>
        <w:t xml:space="preserve">, פסקה </w:t>
      </w:r>
      <w:r w:rsidR="000D4866">
        <w:rPr>
          <w:rFonts w:ascii="David" w:hAnsi="David" w:hint="cs"/>
          <w:rtl/>
        </w:rPr>
        <w:t>42</w:t>
      </w:r>
      <w:r w:rsidR="000D4866">
        <w:rPr>
          <w:rFonts w:ascii="David" w:hAnsi="David" w:hint="cs"/>
          <w:noProof w:val="0"/>
          <w:rtl/>
        </w:rPr>
        <w:t>).</w:t>
      </w:r>
    </w:p>
    <w:p w:rsidR="00160CA2" w:rsidRPr="00160CA2" w:rsidRDefault="00160CA2" w:rsidP="00160CA2">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במקרה דנן, מצא בית משפט קמא כי המערערת זכאית </w:t>
      </w:r>
      <w:r w:rsidR="00E54971">
        <w:rPr>
          <w:rFonts w:ascii="Arial" w:hAnsi="Arial" w:hint="cs"/>
          <w:noProof w:val="0"/>
          <w:rtl/>
        </w:rPr>
        <w:t>ל</w:t>
      </w:r>
      <w:r>
        <w:rPr>
          <w:rFonts w:ascii="Arial" w:hAnsi="Arial" w:hint="cs"/>
          <w:noProof w:val="0"/>
          <w:rtl/>
        </w:rPr>
        <w:t>שכר טרחה ראוי,</w:t>
      </w:r>
      <w:r>
        <w:rPr>
          <w:rFonts w:ascii="Arial" w:hAnsi="Arial"/>
          <w:noProof w:val="0"/>
          <w:rtl/>
        </w:rPr>
        <w:t xml:space="preserve"> </w:t>
      </w:r>
      <w:r>
        <w:rPr>
          <w:rFonts w:ascii="Arial" w:hAnsi="Arial" w:hint="cs"/>
          <w:noProof w:val="0"/>
          <w:rtl/>
        </w:rPr>
        <w:t>עת המשיכה</w:t>
      </w:r>
      <w:r>
        <w:rPr>
          <w:rFonts w:ascii="Arial" w:hAnsi="Arial"/>
          <w:noProof w:val="0"/>
          <w:rtl/>
        </w:rPr>
        <w:t xml:space="preserve"> לייצג את המשיבה ולהגיש מסמכים בשמה</w:t>
      </w:r>
      <w:r>
        <w:rPr>
          <w:rFonts w:ascii="Arial" w:hAnsi="Arial" w:hint="cs"/>
          <w:noProof w:val="0"/>
          <w:rtl/>
        </w:rPr>
        <w:t>.</w:t>
      </w:r>
      <w:r w:rsidR="00E54971">
        <w:rPr>
          <w:rFonts w:ascii="Arial" w:hAnsi="Arial" w:hint="cs"/>
          <w:noProof w:val="0"/>
          <w:rtl/>
        </w:rPr>
        <w:t xml:space="preserve"> משכך, הוסיף על שכר הטרחה שנקבע בהסכמי 2013, 2017, גם שכר טרחה ראוי.</w:t>
      </w:r>
    </w:p>
    <w:p w:rsidR="00160CA2" w:rsidRDefault="00160CA2" w:rsidP="00160CA2">
      <w:pPr>
        <w:spacing w:line="360" w:lineRule="auto"/>
        <w:jc w:val="both"/>
        <w:rPr>
          <w:rFonts w:ascii="Arial" w:hAnsi="Arial"/>
          <w:noProof w:val="0"/>
          <w:rtl/>
        </w:rPr>
      </w:pPr>
    </w:p>
    <w:p w:rsidR="00442867" w:rsidRDefault="00160CA2" w:rsidP="00160CA2">
      <w:pPr>
        <w:spacing w:line="360" w:lineRule="auto"/>
        <w:ind w:left="720" w:hanging="720"/>
        <w:jc w:val="both"/>
        <w:rPr>
          <w:rFonts w:ascii="Arial" w:hAnsi="Arial"/>
          <w:noProof w:val="0"/>
          <w:rtl/>
        </w:rPr>
      </w:pPr>
      <w:r>
        <w:rPr>
          <w:rFonts w:ascii="Arial" w:hAnsi="Arial" w:hint="cs"/>
          <w:noProof w:val="0"/>
          <w:rtl/>
        </w:rPr>
        <w:t>51.</w:t>
      </w:r>
      <w:r>
        <w:rPr>
          <w:rFonts w:ascii="Arial" w:hAnsi="Arial" w:hint="cs"/>
          <w:noProof w:val="0"/>
          <w:rtl/>
        </w:rPr>
        <w:tab/>
      </w:r>
      <w:r w:rsidR="00442867">
        <w:rPr>
          <w:rFonts w:ascii="Arial" w:hAnsi="Arial"/>
          <w:noProof w:val="0"/>
          <w:rtl/>
        </w:rPr>
        <w:t>האם המשיבה</w:t>
      </w:r>
      <w:r>
        <w:rPr>
          <w:rFonts w:ascii="Arial" w:hAnsi="Arial" w:hint="cs"/>
          <w:noProof w:val="0"/>
          <w:rtl/>
        </w:rPr>
        <w:t xml:space="preserve"> בענייננו</w:t>
      </w:r>
      <w:r>
        <w:rPr>
          <w:rFonts w:ascii="Arial" w:hAnsi="Arial"/>
          <w:noProof w:val="0"/>
          <w:rtl/>
        </w:rPr>
        <w:t xml:space="preserve"> חשבה שעבוד</w:t>
      </w:r>
      <w:r>
        <w:rPr>
          <w:rFonts w:ascii="Arial" w:hAnsi="Arial" w:hint="cs"/>
          <w:noProof w:val="0"/>
          <w:rtl/>
        </w:rPr>
        <w:t xml:space="preserve">ת המערער אשר חורגת </w:t>
      </w:r>
      <w:r w:rsidR="00442867">
        <w:rPr>
          <w:rFonts w:ascii="Arial" w:hAnsi="Arial"/>
          <w:noProof w:val="0"/>
          <w:rtl/>
        </w:rPr>
        <w:t xml:space="preserve">נעשית בחינם? </w:t>
      </w:r>
      <w:r w:rsidR="00B13CBD">
        <w:rPr>
          <w:rFonts w:ascii="Arial" w:hAnsi="Arial" w:hint="cs"/>
          <w:noProof w:val="0"/>
          <w:rtl/>
        </w:rPr>
        <w:t xml:space="preserve">המערערת טענה ואף הפנתה </w:t>
      </w:r>
      <w:r w:rsidR="00B66C78">
        <w:rPr>
          <w:rFonts w:ascii="Arial" w:hAnsi="Arial" w:hint="cs"/>
          <w:noProof w:val="0"/>
          <w:rtl/>
        </w:rPr>
        <w:t xml:space="preserve">בדיון מיום 27.3.2024 </w:t>
      </w:r>
      <w:r w:rsidR="00B13CBD">
        <w:rPr>
          <w:rFonts w:ascii="Arial" w:hAnsi="Arial" w:hint="cs"/>
          <w:noProof w:val="0"/>
          <w:rtl/>
        </w:rPr>
        <w:t xml:space="preserve">לחשבוניות </w:t>
      </w:r>
      <w:r w:rsidR="00264A76">
        <w:rPr>
          <w:rFonts w:ascii="Arial" w:hAnsi="Arial" w:hint="cs"/>
          <w:noProof w:val="0"/>
          <w:rtl/>
        </w:rPr>
        <w:t xml:space="preserve">אותן צרפה לערעורה כנספחים ד' </w:t>
      </w:r>
      <w:r w:rsidR="00264A76">
        <w:rPr>
          <w:rFonts w:ascii="Arial" w:hAnsi="Arial"/>
          <w:noProof w:val="0"/>
          <w:rtl/>
        </w:rPr>
        <w:t>–</w:t>
      </w:r>
      <w:r w:rsidR="00B66C78">
        <w:rPr>
          <w:rFonts w:ascii="Arial" w:hAnsi="Arial" w:hint="cs"/>
          <w:noProof w:val="0"/>
          <w:rtl/>
        </w:rPr>
        <w:t xml:space="preserve"> ז'.</w:t>
      </w:r>
      <w:r w:rsidR="00264A76">
        <w:rPr>
          <w:rFonts w:ascii="Arial" w:hAnsi="Arial" w:hint="cs"/>
          <w:noProof w:val="0"/>
          <w:rtl/>
        </w:rPr>
        <w:t xml:space="preserve"> מהם </w:t>
      </w:r>
      <w:r w:rsidR="00264A76">
        <w:rPr>
          <w:rFonts w:ascii="Arial" w:hAnsi="Arial" w:hint="cs"/>
          <w:noProof w:val="0"/>
          <w:rtl/>
        </w:rPr>
        <w:lastRenderedPageBreak/>
        <w:t xml:space="preserve">עלה כי המשיבה קיבלה דרישות תשלום לאורך תקופה בגין העבודות המשפטיות שביצעה עבורה, וכי המשיבה שילמה את הסכומים הללו או חלקם. </w:t>
      </w:r>
    </w:p>
    <w:p w:rsidR="00264A76" w:rsidRDefault="00264A76" w:rsidP="00B13CB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כלומר, </w:t>
      </w:r>
      <w:r w:rsidR="00B66C78">
        <w:rPr>
          <w:rFonts w:ascii="Arial" w:hAnsi="Arial" w:hint="cs"/>
          <w:noProof w:val="0"/>
          <w:rtl/>
        </w:rPr>
        <w:t xml:space="preserve">הדבר תומך לטענת המערערת בעמדתה, כי </w:t>
      </w:r>
      <w:r w:rsidR="006F3E5C">
        <w:rPr>
          <w:rFonts w:ascii="Arial" w:hAnsi="Arial" w:hint="cs"/>
          <w:noProof w:val="0"/>
          <w:rtl/>
        </w:rPr>
        <w:t xml:space="preserve">מעבר להסכם שכר הטרחה הייתה </w:t>
      </w:r>
      <w:r w:rsidR="00B66C78">
        <w:rPr>
          <w:rFonts w:ascii="Arial" w:hAnsi="Arial" w:hint="cs"/>
          <w:noProof w:val="0"/>
          <w:rtl/>
        </w:rPr>
        <w:t xml:space="preserve">היא </w:t>
      </w:r>
      <w:r w:rsidR="006F3E5C">
        <w:rPr>
          <w:rFonts w:ascii="Arial" w:hAnsi="Arial" w:hint="cs"/>
          <w:noProof w:val="0"/>
          <w:rtl/>
        </w:rPr>
        <w:t>ז</w:t>
      </w:r>
      <w:r>
        <w:rPr>
          <w:rFonts w:ascii="Arial" w:hAnsi="Arial" w:hint="cs"/>
          <w:noProof w:val="0"/>
          <w:rtl/>
        </w:rPr>
        <w:t xml:space="preserve">כאית לסכומים נוספים ואין </w:t>
      </w:r>
      <w:r w:rsidR="006F3E5C">
        <w:rPr>
          <w:rFonts w:ascii="Arial" w:hAnsi="Arial" w:hint="cs"/>
          <w:noProof w:val="0"/>
          <w:rtl/>
        </w:rPr>
        <w:t xml:space="preserve">לקבל את עמדת המשיבה כי הסכומים </w:t>
      </w:r>
      <w:r>
        <w:rPr>
          <w:rFonts w:ascii="Arial" w:hAnsi="Arial" w:hint="cs"/>
          <w:noProof w:val="0"/>
          <w:rtl/>
        </w:rPr>
        <w:t xml:space="preserve">שהיה עליה לשלם למערערת מקובעים בהסכם שכ"ט ולא מעבר לכך. </w:t>
      </w:r>
    </w:p>
    <w:p w:rsidR="00264A76" w:rsidRDefault="00264A76" w:rsidP="00B66C78">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אך מנגד, עולה מכך כי המערערת קיבלה מאת המשיבה תשלומים נוספים לאורך השנים. </w:t>
      </w:r>
      <w:r w:rsidR="00B66C78">
        <w:rPr>
          <w:rFonts w:ascii="Arial" w:hAnsi="Arial" w:hint="cs"/>
          <w:noProof w:val="0"/>
          <w:rtl/>
        </w:rPr>
        <w:t xml:space="preserve">אני מוצאת כי </w:t>
      </w:r>
      <w:r>
        <w:rPr>
          <w:rFonts w:ascii="Arial" w:hAnsi="Arial" w:hint="cs"/>
          <w:noProof w:val="0"/>
          <w:rtl/>
        </w:rPr>
        <w:t>גם שורת ההיגיון</w:t>
      </w:r>
      <w:r w:rsidR="00B66C78">
        <w:rPr>
          <w:rFonts w:ascii="Arial" w:hAnsi="Arial" w:hint="cs"/>
          <w:noProof w:val="0"/>
          <w:rtl/>
        </w:rPr>
        <w:t>,</w:t>
      </w:r>
      <w:r>
        <w:rPr>
          <w:rFonts w:ascii="Arial" w:hAnsi="Arial" w:hint="cs"/>
          <w:noProof w:val="0"/>
          <w:rtl/>
        </w:rPr>
        <w:t xml:space="preserve"> אינה מתיישבת עם המחשבה כי המערערת המשיכה לעבוד בחינם מבלי לקבל כל תשלום. סכום תביעתה על סך של 128,259 ₪ אינו סכום נמוך. הדעת אינה נותנת כי המערערת הייתה ממשיכה לעבוד לאורך שנים ללא קבלת תשלום ומניחה לחוב לתפוח עד הגעה לסכום הנ</w:t>
      </w:r>
      <w:r w:rsidR="00B66C78">
        <w:rPr>
          <w:rFonts w:ascii="Arial" w:hAnsi="Arial" w:hint="cs"/>
          <w:noProof w:val="0"/>
          <w:rtl/>
        </w:rPr>
        <w:t>תבע</w:t>
      </w:r>
      <w:r>
        <w:rPr>
          <w:rFonts w:ascii="Arial" w:hAnsi="Arial" w:hint="cs"/>
          <w:noProof w:val="0"/>
          <w:rtl/>
        </w:rPr>
        <w:t xml:space="preserve">. </w:t>
      </w:r>
    </w:p>
    <w:p w:rsidR="00264A76" w:rsidRDefault="00264A76" w:rsidP="00B13CBD">
      <w:pPr>
        <w:spacing w:line="360" w:lineRule="auto"/>
        <w:ind w:left="720" w:hanging="720"/>
        <w:jc w:val="both"/>
        <w:rPr>
          <w:rFonts w:ascii="Arial" w:hAnsi="Arial"/>
          <w:noProof w:val="0"/>
          <w:rtl/>
        </w:rPr>
      </w:pPr>
    </w:p>
    <w:p w:rsidR="00B66C78" w:rsidRDefault="00823A9F" w:rsidP="00823A9F">
      <w:pPr>
        <w:spacing w:line="360" w:lineRule="auto"/>
        <w:ind w:left="720" w:hanging="720"/>
        <w:jc w:val="both"/>
        <w:rPr>
          <w:rFonts w:ascii="Arial" w:hAnsi="Arial"/>
          <w:noProof w:val="0"/>
          <w:rtl/>
        </w:rPr>
      </w:pPr>
      <w:r>
        <w:rPr>
          <w:rFonts w:ascii="Arial" w:hAnsi="Arial" w:hint="cs"/>
          <w:noProof w:val="0"/>
          <w:rtl/>
        </w:rPr>
        <w:t>52</w:t>
      </w:r>
      <w:r w:rsidR="006F3E5C">
        <w:rPr>
          <w:rFonts w:ascii="Arial" w:hAnsi="Arial" w:hint="cs"/>
          <w:noProof w:val="0"/>
          <w:rtl/>
        </w:rPr>
        <w:t>.</w:t>
      </w:r>
      <w:r w:rsidR="006F3E5C">
        <w:rPr>
          <w:rFonts w:ascii="Arial" w:hAnsi="Arial" w:hint="cs"/>
          <w:noProof w:val="0"/>
          <w:rtl/>
        </w:rPr>
        <w:tab/>
        <w:t xml:space="preserve">אשר לשאלת </w:t>
      </w:r>
      <w:r>
        <w:rPr>
          <w:rFonts w:ascii="Arial" w:hAnsi="Arial" w:hint="cs"/>
          <w:noProof w:val="0"/>
          <w:rtl/>
        </w:rPr>
        <w:t xml:space="preserve">גובה שכר </w:t>
      </w:r>
      <w:r w:rsidR="006F3E5C">
        <w:rPr>
          <w:rFonts w:ascii="Arial" w:hAnsi="Arial" w:hint="cs"/>
          <w:noProof w:val="0"/>
          <w:rtl/>
        </w:rPr>
        <w:t>הט</w:t>
      </w:r>
      <w:r w:rsidR="00B66C78">
        <w:rPr>
          <w:rFonts w:ascii="Arial" w:hAnsi="Arial" w:hint="cs"/>
          <w:noProof w:val="0"/>
          <w:rtl/>
        </w:rPr>
        <w:t xml:space="preserve">רחה הראוי, אותו </w:t>
      </w:r>
      <w:r w:rsidR="00264A76">
        <w:rPr>
          <w:rFonts w:ascii="Arial" w:hAnsi="Arial" w:hint="cs"/>
          <w:noProof w:val="0"/>
          <w:rtl/>
        </w:rPr>
        <w:t xml:space="preserve">קבע בית המשפט קמא בגין טיפולה של המערערת בנושא קצבת נכות כללית. נושא זה מחזיק שתי שאלות. </w:t>
      </w:r>
    </w:p>
    <w:p w:rsidR="00264A76" w:rsidRDefault="00264A76" w:rsidP="00B66C78">
      <w:pPr>
        <w:spacing w:line="360" w:lineRule="auto"/>
        <w:ind w:left="720"/>
        <w:jc w:val="both"/>
        <w:rPr>
          <w:rFonts w:ascii="Arial" w:hAnsi="Arial"/>
          <w:noProof w:val="0"/>
          <w:rtl/>
        </w:rPr>
      </w:pPr>
      <w:r>
        <w:rPr>
          <w:rFonts w:ascii="Arial" w:hAnsi="Arial" w:hint="cs"/>
          <w:noProof w:val="0"/>
          <w:rtl/>
        </w:rPr>
        <w:t>ראשית, האם מוצדק לקבוע כאן שכר ראוי? המ</w:t>
      </w:r>
      <w:r w:rsidR="00FD507F">
        <w:rPr>
          <w:rFonts w:ascii="Arial" w:hAnsi="Arial" w:hint="cs"/>
          <w:noProof w:val="0"/>
          <w:rtl/>
        </w:rPr>
        <w:t>שיבה טוענת כי מעבר להסכם שכר הט</w:t>
      </w:r>
      <w:r>
        <w:rPr>
          <w:rFonts w:ascii="Arial" w:hAnsi="Arial" w:hint="cs"/>
          <w:noProof w:val="0"/>
          <w:rtl/>
        </w:rPr>
        <w:t>רחה</w:t>
      </w:r>
      <w:r w:rsidR="00FD507F">
        <w:rPr>
          <w:rFonts w:ascii="Arial" w:hAnsi="Arial" w:hint="cs"/>
          <w:noProof w:val="0"/>
          <w:rtl/>
        </w:rPr>
        <w:t>,</w:t>
      </w:r>
      <w:r>
        <w:rPr>
          <w:rFonts w:ascii="Arial" w:hAnsi="Arial" w:hint="cs"/>
          <w:noProof w:val="0"/>
          <w:rtl/>
        </w:rPr>
        <w:t xml:space="preserve"> לא מוצדק לקבוע שכר למערערת. </w:t>
      </w:r>
    </w:p>
    <w:p w:rsidR="00264A76" w:rsidRDefault="00264A76" w:rsidP="00B13CB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שנית, וככל שהתשובה לשאלה הראשונה היא חיובית, דהיינו כי מוצדק </w:t>
      </w:r>
      <w:r w:rsidR="00823A9F">
        <w:rPr>
          <w:rFonts w:ascii="Arial" w:hAnsi="Arial" w:hint="cs"/>
          <w:noProof w:val="0"/>
          <w:rtl/>
        </w:rPr>
        <w:t>לקבוע שכר טרחה ראוי, האם שכר הט</w:t>
      </w:r>
      <w:r>
        <w:rPr>
          <w:rFonts w:ascii="Arial" w:hAnsi="Arial" w:hint="cs"/>
          <w:noProof w:val="0"/>
          <w:rtl/>
        </w:rPr>
        <w:t>רחה שקבע בית המשפט קמא הוא</w:t>
      </w:r>
      <w:r w:rsidR="00B66C78">
        <w:rPr>
          <w:rFonts w:ascii="Arial" w:hAnsi="Arial" w:hint="cs"/>
          <w:noProof w:val="0"/>
          <w:rtl/>
        </w:rPr>
        <w:t xml:space="preserve"> שכר</w:t>
      </w:r>
      <w:r>
        <w:rPr>
          <w:rFonts w:ascii="Arial" w:hAnsi="Arial" w:hint="cs"/>
          <w:noProof w:val="0"/>
          <w:rtl/>
        </w:rPr>
        <w:t xml:space="preserve"> ראוי בנסיבות העניין. </w:t>
      </w:r>
    </w:p>
    <w:p w:rsidR="00264A76" w:rsidRDefault="00264A76" w:rsidP="00B13CBD">
      <w:pPr>
        <w:spacing w:line="360" w:lineRule="auto"/>
        <w:ind w:left="720" w:hanging="720"/>
        <w:jc w:val="both"/>
        <w:rPr>
          <w:rFonts w:ascii="Arial" w:hAnsi="Arial"/>
          <w:noProof w:val="0"/>
          <w:rtl/>
        </w:rPr>
      </w:pPr>
    </w:p>
    <w:p w:rsidR="00264A76" w:rsidRDefault="00823A9F" w:rsidP="00FD507F">
      <w:pPr>
        <w:spacing w:line="360" w:lineRule="auto"/>
        <w:ind w:left="720" w:hanging="720"/>
        <w:jc w:val="both"/>
        <w:rPr>
          <w:rFonts w:ascii="Arial" w:hAnsi="Arial"/>
          <w:noProof w:val="0"/>
          <w:rtl/>
        </w:rPr>
      </w:pPr>
      <w:r>
        <w:rPr>
          <w:rFonts w:ascii="Arial" w:hAnsi="Arial" w:hint="cs"/>
          <w:noProof w:val="0"/>
          <w:rtl/>
        </w:rPr>
        <w:t>53</w:t>
      </w:r>
      <w:r w:rsidR="00264A76">
        <w:rPr>
          <w:rFonts w:ascii="Arial" w:hAnsi="Arial" w:hint="cs"/>
          <w:noProof w:val="0"/>
          <w:rtl/>
        </w:rPr>
        <w:t>.</w:t>
      </w:r>
      <w:r w:rsidR="00264A76">
        <w:rPr>
          <w:rFonts w:ascii="Arial" w:hAnsi="Arial" w:hint="cs"/>
          <w:noProof w:val="0"/>
          <w:rtl/>
        </w:rPr>
        <w:tab/>
      </w:r>
      <w:r w:rsidR="00A96DE3">
        <w:rPr>
          <w:rFonts w:ascii="Arial" w:hAnsi="Arial" w:hint="cs"/>
          <w:noProof w:val="0"/>
          <w:rtl/>
        </w:rPr>
        <w:t xml:space="preserve">זה המקום לומר, ואף הצפתי זאת לפני הצדדים בישיבת יום </w:t>
      </w:r>
      <w:r w:rsidR="00FB7568">
        <w:rPr>
          <w:rFonts w:ascii="Arial" w:hAnsi="Arial" w:hint="cs"/>
          <w:noProof w:val="0"/>
          <w:rtl/>
        </w:rPr>
        <w:t>27.3.2024 שנקבע לצורך דיון בערעור, כי שקלתי לצרף להליך זה כ"ידיד בית המשפט" גם את לשכת עורכי הדין אשר תחווה את דעתה, האם בנסיבות אל</w:t>
      </w:r>
      <w:r w:rsidR="00FD507F">
        <w:rPr>
          <w:rFonts w:ascii="Arial" w:hAnsi="Arial" w:hint="cs"/>
          <w:noProof w:val="0"/>
          <w:rtl/>
        </w:rPr>
        <w:t>ה יש מקום לפסיקת שכר טרחה ראוי</w:t>
      </w:r>
      <w:r w:rsidR="00B66C78">
        <w:rPr>
          <w:rFonts w:ascii="Arial" w:hAnsi="Arial" w:hint="cs"/>
          <w:noProof w:val="0"/>
          <w:rtl/>
        </w:rPr>
        <w:t xml:space="preserve">? במיוחד </w:t>
      </w:r>
      <w:r w:rsidR="00FB7568">
        <w:rPr>
          <w:rFonts w:ascii="Arial" w:hAnsi="Arial" w:hint="cs"/>
          <w:noProof w:val="0"/>
          <w:rtl/>
        </w:rPr>
        <w:t>כאשר קיים הסכם בכתב. גם נוכח טענות ב"כ המשיבה כאן</w:t>
      </w:r>
      <w:r w:rsidR="00FD507F">
        <w:rPr>
          <w:rFonts w:ascii="Arial" w:hAnsi="Arial" w:hint="cs"/>
          <w:noProof w:val="0"/>
          <w:rtl/>
        </w:rPr>
        <w:t xml:space="preserve"> כי החל</w:t>
      </w:r>
      <w:r w:rsidR="00B66C78">
        <w:rPr>
          <w:rFonts w:ascii="Arial" w:hAnsi="Arial" w:hint="cs"/>
          <w:noProof w:val="0"/>
          <w:rtl/>
        </w:rPr>
        <w:t xml:space="preserve"> מכניסת </w:t>
      </w:r>
      <w:r w:rsidR="00FD507F">
        <w:rPr>
          <w:rFonts w:ascii="Arial" w:hAnsi="Arial" w:hint="cs"/>
          <w:b/>
          <w:bCs/>
          <w:noProof w:val="0"/>
          <w:rtl/>
        </w:rPr>
        <w:t xml:space="preserve">תיקון מס' 161 לחוק </w:t>
      </w:r>
      <w:r w:rsidR="009717D1">
        <w:rPr>
          <w:rFonts w:ascii="Arial" w:hAnsi="Arial" w:hint="cs"/>
          <w:noProof w:val="0"/>
          <w:rtl/>
        </w:rPr>
        <w:t xml:space="preserve">לתוקף, </w:t>
      </w:r>
      <w:r w:rsidR="00F73E69">
        <w:rPr>
          <w:rFonts w:ascii="Arial" w:hAnsi="Arial" w:hint="cs"/>
          <w:noProof w:val="0"/>
          <w:rtl/>
        </w:rPr>
        <w:t xml:space="preserve">קיימות הגבלות על גובה שכר הטירחה שעורכי דין וגורמים נוספים רשאים לגבות עבור סיוע או ייצוג בתובענה לקבלת גמלאות מהמוסד לביטוח לאומי. </w:t>
      </w:r>
    </w:p>
    <w:p w:rsidR="00F73E69" w:rsidRDefault="00F73E69" w:rsidP="00B13CB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חשוב לציין כי ההגבלות חלות רק על ייצוג החל מיום</w:t>
      </w:r>
      <w:r w:rsidR="009717D1">
        <w:rPr>
          <w:rFonts w:ascii="Arial" w:hAnsi="Arial" w:hint="cs"/>
          <w:noProof w:val="0"/>
          <w:rtl/>
        </w:rPr>
        <w:t xml:space="preserve"> כניסת תיקון 161 הנ"ל לתוקף, דהיינו מיום</w:t>
      </w:r>
      <w:r>
        <w:rPr>
          <w:rFonts w:ascii="Arial" w:hAnsi="Arial" w:hint="cs"/>
          <w:noProof w:val="0"/>
          <w:rtl/>
        </w:rPr>
        <w:t xml:space="preserve"> 5.12.2015.</w:t>
      </w:r>
    </w:p>
    <w:p w:rsidR="00F73E69" w:rsidRDefault="00F73E69" w:rsidP="009717D1">
      <w:pPr>
        <w:spacing w:line="360" w:lineRule="auto"/>
        <w:ind w:left="1440" w:hanging="720"/>
        <w:jc w:val="both"/>
        <w:rPr>
          <w:rFonts w:ascii="Arial" w:hAnsi="Arial"/>
          <w:noProof w:val="0"/>
          <w:rtl/>
        </w:rPr>
      </w:pPr>
      <w:r>
        <w:rPr>
          <w:rFonts w:ascii="Arial" w:hAnsi="Arial" w:hint="cs"/>
          <w:noProof w:val="0"/>
          <w:rtl/>
        </w:rPr>
        <w:t xml:space="preserve">בענייננו, חלק מהטיפול </w:t>
      </w:r>
      <w:r w:rsidR="009717D1">
        <w:rPr>
          <w:rFonts w:ascii="Arial" w:hAnsi="Arial" w:hint="cs"/>
          <w:noProof w:val="0"/>
          <w:rtl/>
        </w:rPr>
        <w:t xml:space="preserve">המשפטי שהעניקה המערערת למשיבה </w:t>
      </w:r>
      <w:r>
        <w:rPr>
          <w:rFonts w:ascii="Arial" w:hAnsi="Arial" w:hint="cs"/>
          <w:noProof w:val="0"/>
          <w:rtl/>
        </w:rPr>
        <w:t xml:space="preserve">היה בתקופה קודמת לכך. </w:t>
      </w:r>
    </w:p>
    <w:p w:rsidR="00F73E69" w:rsidRDefault="009717D1" w:rsidP="00966F75">
      <w:pPr>
        <w:spacing w:line="360" w:lineRule="auto"/>
        <w:ind w:left="720"/>
        <w:jc w:val="both"/>
        <w:rPr>
          <w:rFonts w:ascii="Arial" w:hAnsi="Arial"/>
          <w:noProof w:val="0"/>
          <w:rtl/>
        </w:rPr>
      </w:pPr>
      <w:r>
        <w:rPr>
          <w:rFonts w:ascii="Arial" w:hAnsi="Arial" w:hint="cs"/>
          <w:noProof w:val="0"/>
          <w:rtl/>
        </w:rPr>
        <w:t xml:space="preserve">יתר על כן, </w:t>
      </w:r>
      <w:r w:rsidR="00966F75">
        <w:rPr>
          <w:rFonts w:ascii="Arial" w:hAnsi="Arial" w:hint="cs"/>
          <w:noProof w:val="0"/>
          <w:rtl/>
        </w:rPr>
        <w:t>מטרת החוק הייתה להגן על אוכלוסיות מוחלשות הנזקקות ל</w:t>
      </w:r>
      <w:r w:rsidR="00FD507F">
        <w:rPr>
          <w:rFonts w:ascii="Arial" w:hAnsi="Arial" w:hint="cs"/>
          <w:noProof w:val="0"/>
          <w:rtl/>
        </w:rPr>
        <w:t>קצבאות, מפני גביית יתר של שכר ט</w:t>
      </w:r>
      <w:r w:rsidR="00966F75">
        <w:rPr>
          <w:rFonts w:ascii="Arial" w:hAnsi="Arial" w:hint="cs"/>
          <w:noProof w:val="0"/>
          <w:rtl/>
        </w:rPr>
        <w:t xml:space="preserve">רחה. </w:t>
      </w:r>
    </w:p>
    <w:p w:rsidR="00966F75" w:rsidRDefault="00966F75" w:rsidP="00966F7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עם זאת, אין לומר כי מטרת החוק הייתה למנוע מפרקליט אשר עושה מלאכתו נאמנה ומשיג הישגים משמעותיים עבור לקוחותיו לקבל את תמורת עבודתו.</w:t>
      </w:r>
    </w:p>
    <w:p w:rsidR="00966F75" w:rsidRDefault="00966F75" w:rsidP="00966F75">
      <w:pPr>
        <w:spacing w:line="360" w:lineRule="auto"/>
        <w:ind w:left="720" w:hanging="720"/>
        <w:jc w:val="both"/>
        <w:rPr>
          <w:rFonts w:ascii="Arial" w:hAnsi="Arial"/>
          <w:noProof w:val="0"/>
          <w:rtl/>
        </w:rPr>
      </w:pPr>
    </w:p>
    <w:p w:rsidR="009717D1" w:rsidRDefault="00823A9F" w:rsidP="00FD507F">
      <w:pPr>
        <w:spacing w:line="360" w:lineRule="auto"/>
        <w:ind w:left="720" w:hanging="720"/>
        <w:jc w:val="both"/>
        <w:rPr>
          <w:rFonts w:ascii="Arial" w:hAnsi="Arial"/>
          <w:noProof w:val="0"/>
          <w:rtl/>
        </w:rPr>
      </w:pPr>
      <w:r>
        <w:rPr>
          <w:rFonts w:ascii="Arial" w:hAnsi="Arial" w:hint="cs"/>
          <w:noProof w:val="0"/>
          <w:rtl/>
        </w:rPr>
        <w:lastRenderedPageBreak/>
        <w:t>54</w:t>
      </w:r>
      <w:r w:rsidR="00F73E69">
        <w:rPr>
          <w:rFonts w:ascii="Arial" w:hAnsi="Arial" w:hint="cs"/>
          <w:noProof w:val="0"/>
          <w:rtl/>
        </w:rPr>
        <w:t>.</w:t>
      </w:r>
      <w:r w:rsidR="00F73E69">
        <w:rPr>
          <w:rFonts w:ascii="Arial" w:hAnsi="Arial" w:hint="cs"/>
          <w:noProof w:val="0"/>
          <w:rtl/>
        </w:rPr>
        <w:tab/>
      </w:r>
      <w:r w:rsidR="00966F75">
        <w:rPr>
          <w:rFonts w:ascii="Arial" w:hAnsi="Arial" w:hint="cs"/>
          <w:noProof w:val="0"/>
          <w:rtl/>
        </w:rPr>
        <w:t xml:space="preserve">אני מקבלת ללא עוררין את </w:t>
      </w:r>
      <w:r w:rsidR="00FD507F">
        <w:rPr>
          <w:rFonts w:ascii="Arial" w:hAnsi="Arial" w:hint="cs"/>
          <w:noProof w:val="0"/>
          <w:rtl/>
        </w:rPr>
        <w:t>קביעת</w:t>
      </w:r>
      <w:r w:rsidR="00966F75">
        <w:rPr>
          <w:rFonts w:ascii="Arial" w:hAnsi="Arial" w:hint="cs"/>
          <w:noProof w:val="0"/>
          <w:rtl/>
        </w:rPr>
        <w:t xml:space="preserve"> בית המשפט קמא אשר מצא כי ראוי </w:t>
      </w:r>
      <w:r w:rsidR="00FD507F">
        <w:rPr>
          <w:rFonts w:ascii="Arial" w:hAnsi="Arial" w:hint="cs"/>
          <w:noProof w:val="0"/>
          <w:rtl/>
        </w:rPr>
        <w:t>בנסיבות אלה לפסוק למערערת שכר ט</w:t>
      </w:r>
      <w:r w:rsidR="00966F75">
        <w:rPr>
          <w:rFonts w:ascii="Arial" w:hAnsi="Arial" w:hint="cs"/>
          <w:noProof w:val="0"/>
          <w:rtl/>
        </w:rPr>
        <w:t xml:space="preserve">רחה ראוי. </w:t>
      </w:r>
    </w:p>
    <w:p w:rsidR="00966F75" w:rsidRDefault="00966F75" w:rsidP="00FD507F">
      <w:pPr>
        <w:spacing w:line="360" w:lineRule="auto"/>
        <w:ind w:left="720"/>
        <w:jc w:val="both"/>
        <w:rPr>
          <w:rFonts w:ascii="Arial" w:hAnsi="Arial"/>
          <w:noProof w:val="0"/>
          <w:rtl/>
        </w:rPr>
      </w:pPr>
      <w:r>
        <w:rPr>
          <w:rFonts w:ascii="Arial" w:hAnsi="Arial" w:hint="cs"/>
          <w:noProof w:val="0"/>
          <w:rtl/>
        </w:rPr>
        <w:t xml:space="preserve">בית המשפט קמא שוכנע, </w:t>
      </w:r>
      <w:r w:rsidR="00FD507F">
        <w:rPr>
          <w:rFonts w:ascii="Arial" w:hAnsi="Arial" w:hint="cs"/>
          <w:noProof w:val="0"/>
          <w:rtl/>
        </w:rPr>
        <w:t>ולא</w:t>
      </w:r>
      <w:r>
        <w:rPr>
          <w:rFonts w:ascii="Arial" w:hAnsi="Arial" w:hint="cs"/>
          <w:noProof w:val="0"/>
          <w:rtl/>
        </w:rPr>
        <w:t xml:space="preserve"> </w:t>
      </w:r>
      <w:r w:rsidR="00FD507F">
        <w:rPr>
          <w:rFonts w:ascii="Arial" w:hAnsi="Arial" w:hint="cs"/>
          <w:noProof w:val="0"/>
          <w:rtl/>
        </w:rPr>
        <w:t>מצאתי כי הונחה לפני טענה</w:t>
      </w:r>
      <w:r>
        <w:rPr>
          <w:rFonts w:ascii="Arial" w:hAnsi="Arial" w:hint="cs"/>
          <w:noProof w:val="0"/>
          <w:rtl/>
        </w:rPr>
        <w:t xml:space="preserve"> </w:t>
      </w:r>
      <w:r w:rsidR="00FD507F">
        <w:rPr>
          <w:rFonts w:ascii="Arial" w:hAnsi="Arial" w:hint="cs"/>
          <w:noProof w:val="0"/>
          <w:rtl/>
        </w:rPr>
        <w:t>הסותרת</w:t>
      </w:r>
      <w:r>
        <w:rPr>
          <w:rFonts w:ascii="Arial" w:hAnsi="Arial" w:hint="cs"/>
          <w:noProof w:val="0"/>
          <w:rtl/>
        </w:rPr>
        <w:t xml:space="preserve"> זאת, כי המערערת עמלה עבור המשיבה היקף משמעותי יותר מאשר ההסכם המקורי והיא זכאית לשכר עקב כך. משכך, ראה בית המשפט קמא לנכו</w:t>
      </w:r>
      <w:r w:rsidR="00FD507F">
        <w:rPr>
          <w:rFonts w:ascii="Arial" w:hAnsi="Arial" w:hint="cs"/>
          <w:noProof w:val="0"/>
          <w:rtl/>
        </w:rPr>
        <w:t>ן לזכות את המערערת בפסיקת שכר ט</w:t>
      </w:r>
      <w:r>
        <w:rPr>
          <w:rFonts w:ascii="Arial" w:hAnsi="Arial" w:hint="cs"/>
          <w:noProof w:val="0"/>
          <w:rtl/>
        </w:rPr>
        <w:t>רחה ראוי</w:t>
      </w:r>
      <w:r w:rsidR="00FD507F">
        <w:rPr>
          <w:rFonts w:ascii="Arial" w:hAnsi="Arial" w:hint="cs"/>
          <w:noProof w:val="0"/>
          <w:rtl/>
        </w:rPr>
        <w:t xml:space="preserve"> כקביעתו</w:t>
      </w:r>
      <w:r>
        <w:rPr>
          <w:rFonts w:ascii="Arial" w:hAnsi="Arial" w:hint="cs"/>
          <w:noProof w:val="0"/>
          <w:rtl/>
        </w:rPr>
        <w:t>. הייתה זו התרשמותו ה</w:t>
      </w:r>
      <w:r w:rsidR="009717D1">
        <w:rPr>
          <w:rFonts w:ascii="Arial" w:hAnsi="Arial" w:hint="cs"/>
          <w:noProof w:val="0"/>
          <w:rtl/>
        </w:rPr>
        <w:t>שיפוטית</w:t>
      </w:r>
      <w:r>
        <w:rPr>
          <w:rFonts w:ascii="Arial" w:hAnsi="Arial" w:hint="cs"/>
          <w:noProof w:val="0"/>
          <w:rtl/>
        </w:rPr>
        <w:t xml:space="preserve"> מ</w:t>
      </w:r>
      <w:r w:rsidR="009717D1">
        <w:rPr>
          <w:rFonts w:ascii="Arial" w:hAnsi="Arial" w:hint="cs"/>
          <w:noProof w:val="0"/>
          <w:rtl/>
        </w:rPr>
        <w:t xml:space="preserve">ן </w:t>
      </w:r>
      <w:r>
        <w:rPr>
          <w:rFonts w:ascii="Arial" w:hAnsi="Arial" w:hint="cs"/>
          <w:noProof w:val="0"/>
          <w:rtl/>
        </w:rPr>
        <w:t>הסיטואציה שנפרשה לנגד עיניו בשלב ההוכחות. לא מצאתי טעות עובדתית בקביעה זו. אשר להלכה המשפטית, גם כאן אני מוצאת כי כאשר מבוצעת עבודה שהיקפה נגלה לעיני בית המשפט עבור לקוח, וגם אם העבודה אינה מגובה במסמך שכ"ט</w:t>
      </w:r>
      <w:r w:rsidR="00FD507F">
        <w:rPr>
          <w:rFonts w:ascii="Arial" w:hAnsi="Arial" w:hint="cs"/>
          <w:noProof w:val="0"/>
          <w:rtl/>
        </w:rPr>
        <w:t>, יש מקום להורות על פסיקת שכר ט</w:t>
      </w:r>
      <w:r>
        <w:rPr>
          <w:rFonts w:ascii="Arial" w:hAnsi="Arial" w:hint="cs"/>
          <w:noProof w:val="0"/>
          <w:rtl/>
        </w:rPr>
        <w:t xml:space="preserve">רחה ראוי. </w:t>
      </w:r>
    </w:p>
    <w:p w:rsidR="00996834" w:rsidRDefault="00823A9F" w:rsidP="00E54971">
      <w:pPr>
        <w:pStyle w:val="NormalWeb"/>
        <w:shd w:val="clear" w:color="auto" w:fill="FCFCFC"/>
        <w:bidi/>
        <w:spacing w:line="360" w:lineRule="auto"/>
        <w:ind w:left="720"/>
        <w:textAlignment w:val="baseline"/>
        <w:rPr>
          <w:rFonts w:ascii="David" w:hAnsi="David" w:cs="David"/>
          <w:b/>
          <w:bCs/>
          <w:color w:val="282828"/>
          <w:rtl/>
        </w:rPr>
      </w:pPr>
      <w:r>
        <w:rPr>
          <w:rFonts w:ascii="David" w:hAnsi="David" w:cs="David" w:hint="cs"/>
          <w:color w:val="282828"/>
          <w:rtl/>
        </w:rPr>
        <w:t>כאמור אחד המקורות</w:t>
      </w:r>
      <w:r w:rsidR="004312C2" w:rsidRPr="002E2E40">
        <w:rPr>
          <w:rFonts w:ascii="David" w:hAnsi="David" w:cs="David"/>
          <w:color w:val="282828"/>
          <w:rtl/>
        </w:rPr>
        <w:t xml:space="preserve"> החוקי</w:t>
      </w:r>
      <w:r>
        <w:rPr>
          <w:rFonts w:ascii="David" w:hAnsi="David" w:cs="David" w:hint="cs"/>
          <w:color w:val="282828"/>
          <w:rtl/>
        </w:rPr>
        <w:t>ים שניתן להסתייע בהם</w:t>
      </w:r>
      <w:r w:rsidR="004312C2" w:rsidRPr="002E2E40">
        <w:rPr>
          <w:rFonts w:ascii="David" w:hAnsi="David" w:cs="David"/>
          <w:color w:val="282828"/>
          <w:rtl/>
        </w:rPr>
        <w:t xml:space="preserve"> לקביעת שכר ראוי </w:t>
      </w:r>
      <w:r>
        <w:rPr>
          <w:rFonts w:ascii="David" w:hAnsi="David" w:cs="David" w:hint="cs"/>
          <w:color w:val="282828"/>
          <w:rtl/>
        </w:rPr>
        <w:t>הוא</w:t>
      </w:r>
      <w:r w:rsidR="004312C2" w:rsidRPr="002E2E40">
        <w:rPr>
          <w:rFonts w:ascii="David" w:hAnsi="David" w:cs="David"/>
          <w:color w:val="282828"/>
          <w:rtl/>
        </w:rPr>
        <w:t xml:space="preserve"> </w:t>
      </w:r>
      <w:r w:rsidR="004312C2" w:rsidRPr="00996834">
        <w:rPr>
          <w:rFonts w:ascii="David" w:hAnsi="David" w:cs="David"/>
          <w:b/>
          <w:bCs/>
          <w:color w:val="282828"/>
          <w:rtl/>
        </w:rPr>
        <w:t>סעיף 46 לחוק החו</w:t>
      </w:r>
      <w:r w:rsidR="00996834">
        <w:rPr>
          <w:rFonts w:ascii="David" w:hAnsi="David" w:cs="David"/>
          <w:b/>
          <w:bCs/>
          <w:color w:val="282828"/>
          <w:rtl/>
        </w:rPr>
        <w:t>זים (חלק כללי) תשל</w:t>
      </w:r>
      <w:r w:rsidR="00E54971">
        <w:rPr>
          <w:rFonts w:ascii="David" w:hAnsi="David" w:cs="David" w:hint="cs"/>
          <w:b/>
          <w:bCs/>
          <w:color w:val="282828"/>
          <w:rtl/>
        </w:rPr>
        <w:t>"</w:t>
      </w:r>
      <w:r w:rsidR="00996834">
        <w:rPr>
          <w:rFonts w:ascii="David" w:hAnsi="David" w:cs="David"/>
          <w:b/>
          <w:bCs/>
          <w:color w:val="282828"/>
          <w:rtl/>
        </w:rPr>
        <w:t>ג – 197</w:t>
      </w:r>
      <w:r w:rsidR="00FD507F">
        <w:rPr>
          <w:rFonts w:ascii="David" w:hAnsi="David" w:cs="David" w:hint="cs"/>
          <w:b/>
          <w:bCs/>
          <w:color w:val="282828"/>
          <w:rtl/>
        </w:rPr>
        <w:t>3</w:t>
      </w:r>
      <w:r w:rsidR="004312C2" w:rsidRPr="00996834">
        <w:rPr>
          <w:rFonts w:ascii="David" w:hAnsi="David" w:cs="David"/>
          <w:b/>
          <w:bCs/>
          <w:color w:val="282828"/>
          <w:rtl/>
        </w:rPr>
        <w:t>:</w:t>
      </w:r>
    </w:p>
    <w:p w:rsidR="004312C2" w:rsidRDefault="002E2E40" w:rsidP="00FD507F">
      <w:pPr>
        <w:pStyle w:val="NormalWeb"/>
        <w:shd w:val="clear" w:color="auto" w:fill="FCFCFC"/>
        <w:bidi/>
        <w:spacing w:line="360" w:lineRule="auto"/>
        <w:ind w:left="1440"/>
        <w:textAlignment w:val="baseline"/>
        <w:rPr>
          <w:rFonts w:ascii="David" w:hAnsi="David" w:cs="David"/>
          <w:b/>
          <w:bCs/>
          <w:color w:val="282828"/>
          <w:rtl/>
        </w:rPr>
      </w:pPr>
      <w:r>
        <w:rPr>
          <w:rFonts w:ascii="David" w:hAnsi="David" w:cs="David" w:hint="cs"/>
          <w:color w:val="444444"/>
          <w:rtl/>
        </w:rPr>
        <w:t>"</w:t>
      </w:r>
      <w:r w:rsidR="004312C2" w:rsidRPr="002E2E40">
        <w:rPr>
          <w:rFonts w:ascii="David" w:hAnsi="David" w:cs="David"/>
          <w:b/>
          <w:bCs/>
          <w:color w:val="444444"/>
          <w:rtl/>
        </w:rPr>
        <w:t>חיוב לתשלום בעד נכס או שירות שלא הוסכם על שיעורו, יש לקיים בתשלום של סכום שהיה ראוי להשתלם לפי הנסיבות בעת כריתת החוזה</w:t>
      </w:r>
      <w:r>
        <w:rPr>
          <w:rFonts w:ascii="David" w:hAnsi="David" w:cs="David" w:hint="cs"/>
          <w:color w:val="444444"/>
          <w:rtl/>
        </w:rPr>
        <w:t>".</w:t>
      </w:r>
    </w:p>
    <w:p w:rsidR="00980986" w:rsidRPr="00980986" w:rsidRDefault="00980986" w:rsidP="00980986">
      <w:pPr>
        <w:pStyle w:val="NormalWeb"/>
        <w:shd w:val="clear" w:color="auto" w:fill="FCFCFC"/>
        <w:bidi/>
        <w:spacing w:line="360" w:lineRule="auto"/>
        <w:ind w:left="720"/>
        <w:textAlignment w:val="baseline"/>
        <w:rPr>
          <w:rFonts w:ascii="David" w:hAnsi="David" w:cs="David"/>
          <w:color w:val="282828"/>
          <w:rtl/>
        </w:rPr>
      </w:pPr>
      <w:r w:rsidRPr="00980986">
        <w:rPr>
          <w:rFonts w:ascii="David" w:hAnsi="David" w:cs="David"/>
          <w:color w:val="282828"/>
          <w:rtl/>
        </w:rPr>
        <w:t xml:space="preserve">ראו גם: </w:t>
      </w:r>
      <w:r w:rsidRPr="00980986">
        <w:rPr>
          <w:rFonts w:ascii="David" w:hAnsi="David" w:cs="David"/>
          <w:color w:val="000000"/>
          <w:rtl/>
        </w:rPr>
        <w:t xml:space="preserve">ע"א 8934/17 </w:t>
      </w:r>
      <w:r w:rsidRPr="00980986">
        <w:rPr>
          <w:rFonts w:ascii="David" w:hAnsi="David" w:cs="David"/>
          <w:b/>
          <w:bCs/>
          <w:color w:val="000000"/>
          <w:rtl/>
        </w:rPr>
        <w:t>אלי זהר - נאמן המכון לרפורמות מבניות בע"מ נ' החברה הכלכלית לראש העין בע"מ</w:t>
      </w:r>
      <w:r w:rsidRPr="00980986">
        <w:rPr>
          <w:rFonts w:ascii="David" w:hAnsi="David" w:cs="David"/>
          <w:color w:val="282828"/>
          <w:rtl/>
        </w:rPr>
        <w:t>, פסקה 11 (17.3.2019)</w:t>
      </w:r>
      <w:r w:rsidR="00823A9F">
        <w:rPr>
          <w:rFonts w:ascii="David" w:hAnsi="David" w:cs="David" w:hint="cs"/>
          <w:color w:val="282828"/>
          <w:rtl/>
        </w:rPr>
        <w:t>.</w:t>
      </w:r>
    </w:p>
    <w:p w:rsidR="00996834" w:rsidRDefault="00996834" w:rsidP="00980986">
      <w:pPr>
        <w:pStyle w:val="NormalWeb"/>
        <w:shd w:val="clear" w:color="auto" w:fill="FCFCFC"/>
        <w:bidi/>
        <w:spacing w:line="360" w:lineRule="auto"/>
        <w:ind w:left="720"/>
        <w:jc w:val="both"/>
        <w:textAlignment w:val="baseline"/>
        <w:rPr>
          <w:rFonts w:ascii="David" w:hAnsi="David" w:cs="David"/>
          <w:color w:val="282828"/>
          <w:rtl/>
        </w:rPr>
      </w:pPr>
      <w:r>
        <w:rPr>
          <w:rFonts w:ascii="David" w:hAnsi="David" w:cs="David" w:hint="cs"/>
          <w:color w:val="282828"/>
          <w:rtl/>
        </w:rPr>
        <w:t xml:space="preserve">העקרון המנחה הוא כי </w:t>
      </w:r>
      <w:r w:rsidR="004312C2" w:rsidRPr="002E2E40">
        <w:rPr>
          <w:rFonts w:ascii="David" w:hAnsi="David" w:cs="David"/>
          <w:color w:val="282828"/>
          <w:rtl/>
        </w:rPr>
        <w:t xml:space="preserve">כל בעל מקצוע זכאי לשכר בגין עמלו, </w:t>
      </w:r>
      <w:r w:rsidR="002E2E40">
        <w:rPr>
          <w:rFonts w:ascii="David" w:hAnsi="David" w:cs="David" w:hint="cs"/>
          <w:color w:val="282828"/>
          <w:rtl/>
        </w:rPr>
        <w:t>א</w:t>
      </w:r>
      <w:r w:rsidR="00F920D1">
        <w:rPr>
          <w:rFonts w:ascii="David" w:hAnsi="David" w:cs="David" w:hint="cs"/>
          <w:color w:val="282828"/>
          <w:rtl/>
        </w:rPr>
        <w:t xml:space="preserve">חרת יימצא מקבל השירות </w:t>
      </w:r>
      <w:r w:rsidR="004312C2" w:rsidRPr="002E2E40">
        <w:rPr>
          <w:rFonts w:ascii="David" w:hAnsi="David" w:cs="David"/>
          <w:color w:val="282828"/>
          <w:rtl/>
        </w:rPr>
        <w:t xml:space="preserve">מתעשר שלא </w:t>
      </w:r>
      <w:r w:rsidR="002E2E40">
        <w:rPr>
          <w:rFonts w:ascii="David" w:hAnsi="David" w:cs="David"/>
          <w:color w:val="282828"/>
          <w:rtl/>
        </w:rPr>
        <w:t>כדין על חשבו</w:t>
      </w:r>
      <w:r>
        <w:rPr>
          <w:rFonts w:ascii="David" w:hAnsi="David" w:cs="David" w:hint="cs"/>
          <w:color w:val="282828"/>
          <w:rtl/>
        </w:rPr>
        <w:t>נו ועל עמלו</w:t>
      </w:r>
      <w:r w:rsidR="002E2E40">
        <w:rPr>
          <w:rFonts w:ascii="David" w:hAnsi="David" w:cs="David" w:hint="cs"/>
          <w:color w:val="282828"/>
          <w:rtl/>
        </w:rPr>
        <w:t>.</w:t>
      </w:r>
      <w:r>
        <w:rPr>
          <w:rFonts w:ascii="David" w:hAnsi="David" w:cs="David" w:hint="cs"/>
          <w:color w:val="282828"/>
          <w:rtl/>
        </w:rPr>
        <w:t xml:space="preserve"> </w:t>
      </w:r>
    </w:p>
    <w:p w:rsidR="006A1221" w:rsidRPr="00996834" w:rsidRDefault="00F920D1" w:rsidP="00996834">
      <w:pPr>
        <w:pStyle w:val="NormalWeb"/>
        <w:shd w:val="clear" w:color="auto" w:fill="FCFCFC"/>
        <w:bidi/>
        <w:spacing w:line="360" w:lineRule="auto"/>
        <w:ind w:left="720"/>
        <w:textAlignment w:val="baseline"/>
        <w:rPr>
          <w:rFonts w:ascii="David" w:hAnsi="David" w:cs="David"/>
          <w:color w:val="282828"/>
          <w:rtl/>
        </w:rPr>
      </w:pPr>
      <w:r w:rsidRPr="00F920D1">
        <w:rPr>
          <w:rFonts w:ascii="David" w:hAnsi="David" w:cs="David"/>
          <w:shd w:val="clear" w:color="auto" w:fill="FFFFFF"/>
          <w:rtl/>
        </w:rPr>
        <w:t>קביעת שכר ראוי ושיעורו נעשית על בסיס הראיות המובאות לפני בית המשפט.</w:t>
      </w:r>
      <w:r w:rsidR="00FD507F">
        <w:rPr>
          <w:rFonts w:ascii="David" w:hAnsi="David" w:cs="David" w:hint="cs"/>
          <w:shd w:val="clear" w:color="auto" w:fill="FFFFFF"/>
          <w:rtl/>
        </w:rPr>
        <w:t xml:space="preserve"> </w:t>
      </w:r>
      <w:r w:rsidRPr="00996834">
        <w:rPr>
          <w:rFonts w:ascii="David" w:hAnsi="David" w:cs="David"/>
          <w:shd w:val="clear" w:color="auto" w:fill="FFFFFF"/>
          <w:rtl/>
        </w:rPr>
        <w:t>זהו עניין עובדתי לכל דבר.</w:t>
      </w:r>
      <w:r w:rsidRPr="00F920D1">
        <w:rPr>
          <w:rFonts w:ascii="David" w:hAnsi="David" w:hint="cs"/>
          <w:shd w:val="clear" w:color="auto" w:fill="FFFFFF"/>
          <w:rtl/>
        </w:rPr>
        <w:t xml:space="preserve"> </w:t>
      </w:r>
      <w:r w:rsidRPr="00F920D1">
        <w:rPr>
          <w:rFonts w:ascii="David" w:hAnsi="David" w:cs="David"/>
          <w:shd w:val="clear" w:color="auto" w:fill="FFFFFF"/>
          <w:rtl/>
        </w:rPr>
        <w:t>בהקשר זה יש להביא בחשבון, בין היתר, את הזמן שהקדיש עורך הדין לטיפול בעניינו של הלקוח, את מהותו, היקפו ומידת מורכבותו של השירות, את שוויו של העניין נשוא השירות, ואת המוניטין של עורך-הדין</w:t>
      </w:r>
      <w:r w:rsidR="006A1221">
        <w:rPr>
          <w:rFonts w:ascii="David" w:hAnsi="David" w:cs="David" w:hint="cs"/>
          <w:shd w:val="clear" w:color="auto" w:fill="FFFFFF"/>
          <w:rtl/>
        </w:rPr>
        <w:t>.</w:t>
      </w:r>
      <w:r w:rsidRPr="00F920D1">
        <w:rPr>
          <w:rFonts w:ascii="Arial" w:hAnsi="Arial" w:cs="Arial"/>
          <w:sz w:val="27"/>
          <w:szCs w:val="27"/>
          <w:shd w:val="clear" w:color="auto" w:fill="FFFFFF"/>
          <w:rtl/>
        </w:rPr>
        <w:t xml:space="preserve"> </w:t>
      </w:r>
    </w:p>
    <w:p w:rsidR="00F920D1" w:rsidRDefault="00F920D1" w:rsidP="00996834">
      <w:pPr>
        <w:spacing w:line="360" w:lineRule="auto"/>
        <w:ind w:left="720"/>
        <w:jc w:val="both"/>
        <w:rPr>
          <w:rFonts w:ascii="David" w:hAnsi="David"/>
          <w:color w:val="444444"/>
          <w:shd w:val="clear" w:color="auto" w:fill="FCFCFC"/>
          <w:rtl/>
        </w:rPr>
      </w:pPr>
      <w:r>
        <w:rPr>
          <w:rFonts w:ascii="David" w:hAnsi="David" w:hint="cs"/>
          <w:color w:val="282828"/>
          <w:rtl/>
        </w:rPr>
        <w:t>כפי שנקבע ב</w:t>
      </w:r>
      <w:r w:rsidR="006A1221">
        <w:rPr>
          <w:rFonts w:ascii="David" w:hAnsi="David" w:hint="cs"/>
          <w:color w:val="444444"/>
          <w:shd w:val="clear" w:color="auto" w:fill="FCFCFC"/>
          <w:rtl/>
        </w:rPr>
        <w:t xml:space="preserve">פסק הדין המנחה - </w:t>
      </w:r>
      <w:r w:rsidRPr="002E2E40">
        <w:rPr>
          <w:rFonts w:ascii="David" w:hAnsi="David"/>
          <w:color w:val="444444"/>
          <w:shd w:val="clear" w:color="auto" w:fill="FCFCFC"/>
          <w:rtl/>
        </w:rPr>
        <w:t>ע</w:t>
      </w:r>
      <w:r>
        <w:rPr>
          <w:rFonts w:ascii="David" w:hAnsi="David" w:hint="cs"/>
          <w:color w:val="444444"/>
          <w:shd w:val="clear" w:color="auto" w:fill="FCFCFC"/>
          <w:rtl/>
        </w:rPr>
        <w:t>"</w:t>
      </w:r>
      <w:r w:rsidRPr="002E2E40">
        <w:rPr>
          <w:rFonts w:ascii="David" w:hAnsi="David"/>
          <w:color w:val="444444"/>
          <w:shd w:val="clear" w:color="auto" w:fill="FCFCFC"/>
          <w:rtl/>
        </w:rPr>
        <w:t xml:space="preserve">א 136/92 </w:t>
      </w:r>
      <w:r w:rsidRPr="002E2E40">
        <w:rPr>
          <w:rFonts w:ascii="David" w:hAnsi="David"/>
          <w:b/>
          <w:bCs/>
          <w:color w:val="444444"/>
          <w:shd w:val="clear" w:color="auto" w:fill="FCFCFC"/>
          <w:rtl/>
        </w:rPr>
        <w:t>בייניש – עדיאל, עו</w:t>
      </w:r>
      <w:r w:rsidRPr="002E2E40">
        <w:rPr>
          <w:rFonts w:ascii="David" w:hAnsi="David" w:hint="cs"/>
          <w:b/>
          <w:bCs/>
          <w:color w:val="444444"/>
          <w:shd w:val="clear" w:color="auto" w:fill="FCFCFC"/>
          <w:rtl/>
        </w:rPr>
        <w:t>"</w:t>
      </w:r>
      <w:r w:rsidRPr="002E2E40">
        <w:rPr>
          <w:rFonts w:ascii="David" w:hAnsi="David"/>
          <w:b/>
          <w:bCs/>
          <w:color w:val="444444"/>
          <w:shd w:val="clear" w:color="auto" w:fill="FCFCFC"/>
          <w:rtl/>
        </w:rPr>
        <w:t>ד, נגד דניה סיבוס חב</w:t>
      </w:r>
      <w:r w:rsidRPr="002E2E40">
        <w:rPr>
          <w:rFonts w:ascii="David" w:hAnsi="David" w:hint="cs"/>
          <w:b/>
          <w:bCs/>
          <w:color w:val="444444"/>
          <w:shd w:val="clear" w:color="auto" w:fill="FCFCFC"/>
          <w:rtl/>
        </w:rPr>
        <w:t>רה</w:t>
      </w:r>
      <w:r w:rsidRPr="002E2E40">
        <w:rPr>
          <w:rFonts w:ascii="David" w:hAnsi="David"/>
          <w:b/>
          <w:bCs/>
          <w:color w:val="444444"/>
          <w:shd w:val="clear" w:color="auto" w:fill="FCFCFC"/>
          <w:rtl/>
        </w:rPr>
        <w:t xml:space="preserve"> לבניין בע</w:t>
      </w:r>
      <w:r w:rsidRPr="002E2E40">
        <w:rPr>
          <w:rFonts w:ascii="David" w:hAnsi="David" w:hint="cs"/>
          <w:b/>
          <w:bCs/>
          <w:color w:val="444444"/>
          <w:shd w:val="clear" w:color="auto" w:fill="FCFCFC"/>
          <w:rtl/>
        </w:rPr>
        <w:t>"</w:t>
      </w:r>
      <w:r w:rsidRPr="002E2E40">
        <w:rPr>
          <w:rFonts w:ascii="David" w:hAnsi="David"/>
          <w:b/>
          <w:bCs/>
          <w:color w:val="444444"/>
          <w:shd w:val="clear" w:color="auto" w:fill="FCFCFC"/>
          <w:rtl/>
        </w:rPr>
        <w:t>מ</w:t>
      </w:r>
      <w:r w:rsidRPr="002E2E40">
        <w:rPr>
          <w:rFonts w:ascii="David" w:hAnsi="David"/>
          <w:color w:val="444444"/>
          <w:shd w:val="clear" w:color="auto" w:fill="FCFCFC"/>
          <w:rtl/>
        </w:rPr>
        <w:t>, פ</w:t>
      </w:r>
      <w:r>
        <w:rPr>
          <w:rFonts w:ascii="David" w:hAnsi="David" w:hint="cs"/>
          <w:color w:val="444444"/>
          <w:shd w:val="clear" w:color="auto" w:fill="FCFCFC"/>
          <w:rtl/>
        </w:rPr>
        <w:t>"</w:t>
      </w:r>
      <w:r w:rsidRPr="002E2E40">
        <w:rPr>
          <w:rFonts w:ascii="David" w:hAnsi="David"/>
          <w:color w:val="444444"/>
          <w:shd w:val="clear" w:color="auto" w:fill="FCFCFC"/>
          <w:rtl/>
        </w:rPr>
        <w:t>ד מ</w:t>
      </w:r>
      <w:r>
        <w:rPr>
          <w:rFonts w:ascii="David" w:hAnsi="David" w:hint="cs"/>
          <w:color w:val="444444"/>
          <w:shd w:val="clear" w:color="auto" w:fill="FCFCFC"/>
          <w:rtl/>
        </w:rPr>
        <w:t>"</w:t>
      </w:r>
      <w:r w:rsidR="006A1221">
        <w:rPr>
          <w:rFonts w:ascii="David" w:hAnsi="David"/>
          <w:color w:val="444444"/>
          <w:shd w:val="clear" w:color="auto" w:fill="FCFCFC"/>
          <w:rtl/>
        </w:rPr>
        <w:t>ז 5, 11</w:t>
      </w:r>
      <w:r w:rsidR="00996834">
        <w:rPr>
          <w:rFonts w:ascii="David" w:hAnsi="David" w:hint="cs"/>
          <w:color w:val="444444"/>
          <w:shd w:val="clear" w:color="auto" w:fill="FCFCFC"/>
          <w:rtl/>
        </w:rPr>
        <w:t>4</w:t>
      </w:r>
      <w:r w:rsidR="006A1221">
        <w:rPr>
          <w:rFonts w:ascii="David" w:hAnsi="David" w:hint="cs"/>
          <w:color w:val="444444"/>
          <w:shd w:val="clear" w:color="auto" w:fill="FCFCFC"/>
          <w:rtl/>
        </w:rPr>
        <w:t xml:space="preserve">, שם בעמ' 125 </w:t>
      </w:r>
      <w:r w:rsidR="006A1221">
        <w:rPr>
          <w:rFonts w:ascii="David" w:hAnsi="David"/>
          <w:color w:val="444444"/>
          <w:shd w:val="clear" w:color="auto" w:fill="FCFCFC"/>
          <w:rtl/>
        </w:rPr>
        <w:t>–</w:t>
      </w:r>
      <w:r w:rsidR="006A1221">
        <w:rPr>
          <w:rFonts w:ascii="David" w:hAnsi="David" w:hint="cs"/>
          <w:color w:val="444444"/>
          <w:shd w:val="clear" w:color="auto" w:fill="FCFCFC"/>
          <w:rtl/>
        </w:rPr>
        <w:t xml:space="preserve"> 126 </w:t>
      </w:r>
      <w:r w:rsidR="00996834">
        <w:rPr>
          <w:rFonts w:ascii="David" w:hAnsi="David" w:hint="cs"/>
          <w:color w:val="444444"/>
          <w:shd w:val="clear" w:color="auto" w:fill="FCFCFC"/>
          <w:rtl/>
        </w:rPr>
        <w:t>:</w:t>
      </w:r>
    </w:p>
    <w:p w:rsidR="00C84FFA" w:rsidRPr="00F920D1" w:rsidRDefault="00C84FFA" w:rsidP="00996834">
      <w:pPr>
        <w:spacing w:line="360" w:lineRule="auto"/>
        <w:ind w:left="720"/>
        <w:jc w:val="both"/>
        <w:rPr>
          <w:rFonts w:ascii="David" w:hAnsi="David"/>
          <w:color w:val="444444"/>
          <w:shd w:val="clear" w:color="auto" w:fill="FCFCFC"/>
          <w:rtl/>
        </w:rPr>
      </w:pPr>
    </w:p>
    <w:p w:rsidR="00F73E69" w:rsidRPr="009B1002" w:rsidRDefault="00F920D1" w:rsidP="00F83488">
      <w:pPr>
        <w:spacing w:line="360" w:lineRule="auto"/>
        <w:ind w:left="1440" w:hanging="720"/>
        <w:jc w:val="both"/>
        <w:rPr>
          <w:rFonts w:ascii="David" w:hAnsi="David"/>
          <w:color w:val="444444"/>
          <w:shd w:val="clear" w:color="auto" w:fill="FCFCFC"/>
          <w:rtl/>
        </w:rPr>
      </w:pPr>
      <w:r w:rsidRPr="009B1002">
        <w:rPr>
          <w:rFonts w:ascii="David" w:hAnsi="David"/>
          <w:b/>
          <w:bCs/>
          <w:color w:val="444444"/>
          <w:shd w:val="clear" w:color="auto" w:fill="FCFCFC"/>
        </w:rPr>
        <w:tab/>
      </w:r>
      <w:r w:rsidR="00F83488" w:rsidRPr="009B1002">
        <w:rPr>
          <w:rFonts w:ascii="David" w:hAnsi="David"/>
          <w:b/>
          <w:bCs/>
          <w:color w:val="000000"/>
          <w:shd w:val="clear" w:color="auto" w:fill="FFFFFF"/>
          <w:rtl/>
        </w:rPr>
        <w:t>"קביעת השכר הראוי בגין טרחת עורך דין צריך שתיעשה בכל מקרה ומקרה לפי נסיבותיו. שיעורו של השכר הראוי אינו בגדר ידיעה שיפוטית, ואין בית המשפט מוסמך לקבעו על פי שיקול דעתו בלבד, מבלי שקביעותיו תתבססנה על ראיות שהובאו בפניו</w:t>
      </w:r>
      <w:r w:rsidR="00F83488" w:rsidRPr="009B1002">
        <w:rPr>
          <w:rFonts w:ascii="David" w:hAnsi="David"/>
          <w:b/>
          <w:bCs/>
          <w:color w:val="000000"/>
          <w:shd w:val="clear" w:color="auto" w:fill="FFFFFF"/>
        </w:rPr>
        <w:t xml:space="preserve"> ...</w:t>
      </w:r>
      <w:r w:rsidRPr="009B1002">
        <w:rPr>
          <w:rFonts w:ascii="David" w:hAnsi="David"/>
          <w:color w:val="444444"/>
          <w:shd w:val="clear" w:color="auto" w:fill="FCFCFC"/>
          <w:rtl/>
        </w:rPr>
        <w:t>".</w:t>
      </w:r>
    </w:p>
    <w:p w:rsidR="009B1002" w:rsidRDefault="009B1002" w:rsidP="009B1002">
      <w:pPr>
        <w:pStyle w:val="NormalWeb"/>
        <w:shd w:val="clear" w:color="auto" w:fill="FCFCFC"/>
        <w:bidi/>
        <w:ind w:left="720"/>
        <w:textAlignment w:val="baseline"/>
        <w:rPr>
          <w:rFonts w:ascii="David" w:hAnsi="David" w:cs="David"/>
          <w:shd w:val="clear" w:color="auto" w:fill="FFFFFF"/>
          <w:rtl/>
        </w:rPr>
      </w:pPr>
      <w:r>
        <w:rPr>
          <w:rFonts w:ascii="David" w:hAnsi="David" w:cs="David" w:hint="cs"/>
          <w:shd w:val="clear" w:color="auto" w:fill="FFFFFF"/>
          <w:rtl/>
        </w:rPr>
        <w:lastRenderedPageBreak/>
        <w:t xml:space="preserve">עוד </w:t>
      </w:r>
      <w:r w:rsidRPr="00F920D1">
        <w:rPr>
          <w:rFonts w:ascii="David" w:hAnsi="David" w:cs="David"/>
          <w:shd w:val="clear" w:color="auto" w:fill="FFFFFF"/>
          <w:rtl/>
        </w:rPr>
        <w:t>ראו :</w:t>
      </w:r>
    </w:p>
    <w:p w:rsidR="009B1002" w:rsidRDefault="009B1002" w:rsidP="009B1002">
      <w:pPr>
        <w:pStyle w:val="NormalWeb"/>
        <w:shd w:val="clear" w:color="auto" w:fill="FCFCFC"/>
        <w:bidi/>
        <w:ind w:left="720"/>
        <w:textAlignment w:val="baseline"/>
        <w:rPr>
          <w:rFonts w:ascii="David" w:hAnsi="David" w:cs="David"/>
          <w:shd w:val="clear" w:color="auto" w:fill="FFFFFF"/>
          <w:rtl/>
        </w:rPr>
      </w:pPr>
      <w:r w:rsidRPr="00F920D1">
        <w:rPr>
          <w:rFonts w:ascii="David" w:hAnsi="David" w:cs="David"/>
          <w:shd w:val="clear" w:color="auto" w:fill="FFFFFF"/>
          <w:rtl/>
        </w:rPr>
        <w:t xml:space="preserve">ע"א 261/86 </w:t>
      </w:r>
      <w:r w:rsidRPr="00F920D1">
        <w:rPr>
          <w:rFonts w:ascii="David" w:hAnsi="David" w:cs="David"/>
          <w:b/>
          <w:bCs/>
          <w:shd w:val="clear" w:color="auto" w:fill="FFFFFF"/>
          <w:rtl/>
        </w:rPr>
        <w:t>חברת דנו הישראלית נ' הורשפלד</w:t>
      </w:r>
      <w:r w:rsidRPr="00F920D1">
        <w:rPr>
          <w:rFonts w:ascii="David" w:hAnsi="David" w:cs="David"/>
          <w:shd w:val="clear" w:color="auto" w:fill="FFFFFF"/>
          <w:rtl/>
        </w:rPr>
        <w:t xml:space="preserve">, פ"ד מג(1) 160, 165; </w:t>
      </w:r>
    </w:p>
    <w:p w:rsidR="009B1002" w:rsidRPr="00996834" w:rsidRDefault="009B1002" w:rsidP="009B1002">
      <w:pPr>
        <w:pStyle w:val="NormalWeb"/>
        <w:shd w:val="clear" w:color="auto" w:fill="FCFCFC"/>
        <w:bidi/>
        <w:ind w:left="720"/>
        <w:textAlignment w:val="baseline"/>
        <w:rPr>
          <w:rFonts w:ascii="David" w:hAnsi="David" w:cs="David"/>
          <w:shd w:val="clear" w:color="auto" w:fill="FFFFFF"/>
          <w:rtl/>
        </w:rPr>
      </w:pPr>
      <w:r w:rsidRPr="006A1221">
        <w:rPr>
          <w:rFonts w:ascii="David" w:hAnsi="David" w:cs="David"/>
          <w:shd w:val="clear" w:color="auto" w:fill="FFFFFF"/>
          <w:rtl/>
        </w:rPr>
        <w:t xml:space="preserve">ע"א 499/89 </w:t>
      </w:r>
      <w:r w:rsidRPr="006A1221">
        <w:rPr>
          <w:rFonts w:ascii="David" w:hAnsi="David" w:cs="David"/>
          <w:b/>
          <w:bCs/>
          <w:shd w:val="clear" w:color="auto" w:fill="FFFFFF"/>
          <w:rtl/>
        </w:rPr>
        <w:t xml:space="preserve">רמת אביבים בע"מ נ' מירון, בן ציון ופריבס, עורכי דין, </w:t>
      </w:r>
      <w:r w:rsidRPr="006A1221">
        <w:rPr>
          <w:rFonts w:ascii="David" w:hAnsi="David" w:cs="David"/>
          <w:shd w:val="clear" w:color="auto" w:fill="FFFFFF"/>
          <w:rtl/>
        </w:rPr>
        <w:t>פ"ד מו(4) 586, 593</w:t>
      </w:r>
      <w:r w:rsidRPr="00F920D1">
        <w:rPr>
          <w:rFonts w:ascii="David" w:hAnsi="David" w:cs="David"/>
          <w:shd w:val="clear" w:color="auto" w:fill="FCFCFC"/>
          <w:rtl/>
        </w:rPr>
        <w:t>.</w:t>
      </w:r>
    </w:p>
    <w:p w:rsidR="009B1002" w:rsidRPr="006A1221" w:rsidRDefault="009B1002" w:rsidP="009B1002">
      <w:pPr>
        <w:pStyle w:val="NormalWeb"/>
        <w:shd w:val="clear" w:color="auto" w:fill="FCFCFC"/>
        <w:bidi/>
        <w:ind w:left="720"/>
        <w:textAlignment w:val="baseline"/>
        <w:rPr>
          <w:rFonts w:ascii="David" w:hAnsi="David" w:cs="David"/>
          <w:color w:val="000000"/>
          <w:shd w:val="clear" w:color="auto" w:fill="FFFFFF"/>
          <w:rtl/>
        </w:rPr>
      </w:pPr>
      <w:r w:rsidRPr="006A1221">
        <w:rPr>
          <w:rFonts w:ascii="David" w:hAnsi="David" w:cs="David"/>
          <w:color w:val="000000"/>
          <w:shd w:val="clear" w:color="auto" w:fill="FFFFFF"/>
          <w:rtl/>
        </w:rPr>
        <w:t>ע"א 9282/02 </w:t>
      </w:r>
      <w:r w:rsidRPr="006A1221">
        <w:rPr>
          <w:rFonts w:ascii="David" w:hAnsi="David" w:cs="David"/>
          <w:b/>
          <w:bCs/>
          <w:color w:val="000000"/>
          <w:shd w:val="clear" w:color="auto" w:fill="FFFFFF"/>
          <w:rtl/>
        </w:rPr>
        <w:t>יכין חקל בע"מ ואח' נ' יצחק יחיאל עו"ד</w:t>
      </w:r>
      <w:r w:rsidRPr="006A1221">
        <w:rPr>
          <w:rFonts w:ascii="David" w:hAnsi="David" w:cs="David"/>
          <w:color w:val="000000"/>
          <w:shd w:val="clear" w:color="auto" w:fill="FFFFFF"/>
          <w:rtl/>
        </w:rPr>
        <w:t> פ"ד נח(5), 20 ,עמ' 27-28 .</w:t>
      </w:r>
    </w:p>
    <w:p w:rsidR="009B1002" w:rsidRPr="00996834" w:rsidRDefault="009B1002" w:rsidP="00996834">
      <w:pPr>
        <w:spacing w:line="360" w:lineRule="auto"/>
        <w:ind w:left="1440" w:hanging="720"/>
        <w:jc w:val="both"/>
        <w:rPr>
          <w:rFonts w:ascii="David" w:hAnsi="David"/>
          <w:color w:val="444444"/>
          <w:shd w:val="clear" w:color="auto" w:fill="FCFCFC"/>
          <w:rtl/>
        </w:rPr>
      </w:pPr>
    </w:p>
    <w:p w:rsidR="00264A76" w:rsidRDefault="00823A9F" w:rsidP="00967CC4">
      <w:pPr>
        <w:spacing w:line="360" w:lineRule="auto"/>
        <w:ind w:left="720" w:hanging="720"/>
        <w:jc w:val="both"/>
        <w:rPr>
          <w:rFonts w:ascii="Arial" w:hAnsi="Arial"/>
          <w:noProof w:val="0"/>
          <w:rtl/>
        </w:rPr>
      </w:pPr>
      <w:r>
        <w:rPr>
          <w:rFonts w:ascii="Arial" w:hAnsi="Arial" w:hint="cs"/>
          <w:noProof w:val="0"/>
          <w:rtl/>
        </w:rPr>
        <w:t>55</w:t>
      </w:r>
      <w:r w:rsidR="00966F75">
        <w:rPr>
          <w:rFonts w:ascii="Arial" w:hAnsi="Arial" w:hint="cs"/>
          <w:noProof w:val="0"/>
          <w:rtl/>
        </w:rPr>
        <w:t>.</w:t>
      </w:r>
      <w:r w:rsidR="00966F75">
        <w:rPr>
          <w:rFonts w:ascii="Arial" w:hAnsi="Arial" w:hint="cs"/>
          <w:noProof w:val="0"/>
          <w:rtl/>
        </w:rPr>
        <w:tab/>
      </w:r>
      <w:r w:rsidR="00967CC4">
        <w:rPr>
          <w:rFonts w:ascii="Arial" w:hAnsi="Arial" w:hint="cs"/>
          <w:noProof w:val="0"/>
          <w:rtl/>
        </w:rPr>
        <w:t xml:space="preserve">בנסיבות העניין, בצדק ראה </w:t>
      </w:r>
      <w:r>
        <w:rPr>
          <w:rFonts w:ascii="Arial" w:hAnsi="Arial" w:hint="cs"/>
          <w:noProof w:val="0"/>
          <w:rtl/>
        </w:rPr>
        <w:t>בית משפט קמא</w:t>
      </w:r>
      <w:r w:rsidR="00967CC4">
        <w:rPr>
          <w:rFonts w:ascii="Arial" w:hAnsi="Arial" w:hint="cs"/>
          <w:noProof w:val="0"/>
          <w:rtl/>
        </w:rPr>
        <w:t xml:space="preserve"> ש</w:t>
      </w:r>
      <w:r>
        <w:rPr>
          <w:rFonts w:ascii="Arial" w:hAnsi="Arial" w:hint="cs"/>
          <w:noProof w:val="0"/>
          <w:rtl/>
        </w:rPr>
        <w:t>לא לקבל את עמדת המשיבה</w:t>
      </w:r>
      <w:r w:rsidR="009717D1">
        <w:rPr>
          <w:rFonts w:ascii="Arial" w:hAnsi="Arial" w:hint="cs"/>
          <w:noProof w:val="0"/>
          <w:rtl/>
        </w:rPr>
        <w:t>,</w:t>
      </w:r>
      <w:r w:rsidR="003F18FF">
        <w:rPr>
          <w:rFonts w:ascii="Arial" w:hAnsi="Arial" w:hint="cs"/>
          <w:noProof w:val="0"/>
          <w:rtl/>
        </w:rPr>
        <w:t xml:space="preserve"> </w:t>
      </w:r>
      <w:r w:rsidR="00967CC4">
        <w:rPr>
          <w:rFonts w:ascii="Arial" w:hAnsi="Arial" w:hint="cs"/>
          <w:noProof w:val="0"/>
          <w:rtl/>
        </w:rPr>
        <w:t>לפיה</w:t>
      </w:r>
      <w:r w:rsidR="003F18FF">
        <w:rPr>
          <w:rFonts w:ascii="Arial" w:hAnsi="Arial" w:hint="cs"/>
          <w:noProof w:val="0"/>
          <w:rtl/>
        </w:rPr>
        <w:t xml:space="preserve"> בהעדר הסכם שכר ט</w:t>
      </w:r>
      <w:r w:rsidR="00966F75">
        <w:rPr>
          <w:rFonts w:ascii="Arial" w:hAnsi="Arial" w:hint="cs"/>
          <w:noProof w:val="0"/>
          <w:rtl/>
        </w:rPr>
        <w:t>רחה נוסף על זה שנחתם בין הצדדים ברא</w:t>
      </w:r>
      <w:r w:rsidR="003F18FF">
        <w:rPr>
          <w:rFonts w:ascii="Arial" w:hAnsi="Arial" w:hint="cs"/>
          <w:noProof w:val="0"/>
          <w:rtl/>
        </w:rPr>
        <w:t>שית הדרך, אין מקום לפסיקת שכר ט</w:t>
      </w:r>
      <w:r w:rsidR="00966F75">
        <w:rPr>
          <w:rFonts w:ascii="Arial" w:hAnsi="Arial" w:hint="cs"/>
          <w:noProof w:val="0"/>
          <w:rtl/>
        </w:rPr>
        <w:t>רחה נוסף עבור עבודות שהמערערת ביצעה עבור המשיבה מעבר לגבולותיו של ההסכם המקורי.</w:t>
      </w:r>
    </w:p>
    <w:p w:rsidR="00966F75" w:rsidRDefault="00966F75" w:rsidP="00967CC4">
      <w:pPr>
        <w:spacing w:line="360" w:lineRule="auto"/>
        <w:ind w:left="720" w:hanging="720"/>
        <w:jc w:val="both"/>
        <w:rPr>
          <w:rFonts w:ascii="Arial" w:hAnsi="Arial"/>
          <w:noProof w:val="0"/>
          <w:rtl/>
        </w:rPr>
      </w:pPr>
      <w:r>
        <w:rPr>
          <w:rFonts w:ascii="Arial" w:hAnsi="Arial"/>
          <w:noProof w:val="0"/>
          <w:rtl/>
        </w:rPr>
        <w:tab/>
      </w:r>
      <w:r w:rsidR="00967CC4">
        <w:rPr>
          <w:rFonts w:ascii="Arial" w:hAnsi="Arial" w:hint="cs"/>
          <w:noProof w:val="0"/>
          <w:rtl/>
        </w:rPr>
        <w:t>כך גם לגבי</w:t>
      </w:r>
      <w:r>
        <w:rPr>
          <w:rFonts w:ascii="Arial" w:hAnsi="Arial" w:hint="cs"/>
          <w:noProof w:val="0"/>
          <w:rtl/>
        </w:rPr>
        <w:t xml:space="preserve"> טע</w:t>
      </w:r>
      <w:r w:rsidR="00E1205C">
        <w:rPr>
          <w:rFonts w:ascii="Arial" w:hAnsi="Arial" w:hint="cs"/>
          <w:noProof w:val="0"/>
          <w:rtl/>
        </w:rPr>
        <w:t xml:space="preserve">נות ב"כ המשיבה, כי יש לראות את </w:t>
      </w:r>
      <w:r>
        <w:rPr>
          <w:rFonts w:ascii="Arial" w:hAnsi="Arial" w:hint="cs"/>
          <w:noProof w:val="0"/>
          <w:rtl/>
        </w:rPr>
        <w:t xml:space="preserve">תיקון </w:t>
      </w:r>
      <w:r w:rsidR="009717D1">
        <w:rPr>
          <w:rFonts w:ascii="Arial" w:hAnsi="Arial" w:hint="cs"/>
          <w:noProof w:val="0"/>
          <w:rtl/>
        </w:rPr>
        <w:t xml:space="preserve">161 </w:t>
      </w:r>
      <w:r w:rsidR="001B2F3E">
        <w:rPr>
          <w:rFonts w:ascii="Arial" w:hAnsi="Arial" w:hint="cs"/>
          <w:noProof w:val="0"/>
          <w:rtl/>
        </w:rPr>
        <w:t xml:space="preserve">לחוק, כהוראה </w:t>
      </w:r>
      <w:r w:rsidR="00E1205C">
        <w:rPr>
          <w:rFonts w:ascii="Arial" w:hAnsi="Arial" w:hint="cs"/>
          <w:noProof w:val="0"/>
          <w:rtl/>
        </w:rPr>
        <w:t>ה</w:t>
      </w:r>
      <w:r w:rsidR="001B2F3E">
        <w:rPr>
          <w:rFonts w:ascii="Arial" w:hAnsi="Arial" w:hint="cs"/>
          <w:noProof w:val="0"/>
          <w:rtl/>
        </w:rPr>
        <w:t xml:space="preserve">מחייבת עריכת הסכם בכתב כתנאי לביצוע ייצוג משפטי בטיפול בתביעה לקצבאות שונות. </w:t>
      </w:r>
    </w:p>
    <w:p w:rsidR="001B2F3E" w:rsidRDefault="001B2F3E" w:rsidP="00967CC4">
      <w:pPr>
        <w:spacing w:line="360" w:lineRule="auto"/>
        <w:ind w:left="720" w:hanging="720"/>
        <w:jc w:val="both"/>
        <w:rPr>
          <w:rFonts w:ascii="Arial" w:hAnsi="Arial"/>
          <w:noProof w:val="0"/>
          <w:rtl/>
        </w:rPr>
      </w:pPr>
      <w:r>
        <w:rPr>
          <w:rFonts w:ascii="Arial" w:hAnsi="Arial"/>
          <w:noProof w:val="0"/>
          <w:rtl/>
        </w:rPr>
        <w:tab/>
      </w:r>
      <w:r w:rsidR="00967CC4">
        <w:rPr>
          <w:rFonts w:ascii="Arial" w:hAnsi="Arial" w:hint="cs"/>
          <w:noProof w:val="0"/>
          <w:rtl/>
        </w:rPr>
        <w:t xml:space="preserve">בהקשר זה יוער, כי </w:t>
      </w:r>
      <w:r>
        <w:rPr>
          <w:rFonts w:ascii="Arial" w:hAnsi="Arial" w:hint="cs"/>
          <w:noProof w:val="0"/>
          <w:rtl/>
        </w:rPr>
        <w:t xml:space="preserve">כאשר המחוקק </w:t>
      </w:r>
      <w:r w:rsidR="00967CC4">
        <w:rPr>
          <w:rFonts w:ascii="Arial" w:hAnsi="Arial" w:hint="cs"/>
          <w:noProof w:val="0"/>
          <w:rtl/>
        </w:rPr>
        <w:t>ביקש</w:t>
      </w:r>
      <w:r>
        <w:rPr>
          <w:rFonts w:ascii="Arial" w:hAnsi="Arial" w:hint="cs"/>
          <w:noProof w:val="0"/>
          <w:rtl/>
        </w:rPr>
        <w:t xml:space="preserve"> להתנות ולהוסיף דרישה בכתב כד</w:t>
      </w:r>
      <w:r w:rsidR="009717D1">
        <w:rPr>
          <w:rFonts w:ascii="Arial" w:hAnsi="Arial" w:hint="cs"/>
          <w:noProof w:val="0"/>
          <w:rtl/>
        </w:rPr>
        <w:t>רישה קוגנטית, הוא ידע לעשות זאת.</w:t>
      </w:r>
      <w:r>
        <w:rPr>
          <w:rFonts w:ascii="Arial" w:hAnsi="Arial" w:hint="cs"/>
          <w:noProof w:val="0"/>
          <w:rtl/>
        </w:rPr>
        <w:t xml:space="preserve"> </w:t>
      </w:r>
      <w:r w:rsidR="009717D1">
        <w:rPr>
          <w:rFonts w:ascii="Arial" w:hAnsi="Arial" w:hint="cs"/>
          <w:noProof w:val="0"/>
          <w:rtl/>
        </w:rPr>
        <w:t>ראו</w:t>
      </w:r>
      <w:r>
        <w:rPr>
          <w:rFonts w:ascii="Arial" w:hAnsi="Arial" w:hint="cs"/>
          <w:noProof w:val="0"/>
          <w:rtl/>
        </w:rPr>
        <w:t xml:space="preserve"> </w:t>
      </w:r>
      <w:r w:rsidR="009717D1">
        <w:rPr>
          <w:rFonts w:ascii="Arial" w:hAnsi="Arial" w:hint="cs"/>
          <w:b/>
          <w:bCs/>
          <w:noProof w:val="0"/>
          <w:rtl/>
        </w:rPr>
        <w:t xml:space="preserve">: </w:t>
      </w:r>
      <w:r w:rsidRPr="001B2F3E">
        <w:rPr>
          <w:rFonts w:ascii="Arial" w:hAnsi="Arial" w:hint="cs"/>
          <w:b/>
          <w:bCs/>
          <w:noProof w:val="0"/>
          <w:rtl/>
        </w:rPr>
        <w:t>חוק המקרקעין תשכ"ז-1967</w:t>
      </w:r>
      <w:r w:rsidR="002D462F">
        <w:rPr>
          <w:rFonts w:ascii="Arial" w:hAnsi="Arial" w:hint="cs"/>
          <w:b/>
          <w:bCs/>
          <w:noProof w:val="0"/>
          <w:rtl/>
        </w:rPr>
        <w:t>,</w:t>
      </w:r>
      <w:r w:rsidRPr="001B2F3E">
        <w:rPr>
          <w:rFonts w:ascii="Arial" w:hAnsi="Arial" w:hint="cs"/>
          <w:b/>
          <w:bCs/>
          <w:noProof w:val="0"/>
          <w:rtl/>
        </w:rPr>
        <w:t xml:space="preserve"> </w:t>
      </w:r>
      <w:r w:rsidRPr="001B2F3E">
        <w:rPr>
          <w:rFonts w:ascii="Arial" w:hAnsi="Arial" w:hint="cs"/>
          <w:noProof w:val="0"/>
          <w:rtl/>
        </w:rPr>
        <w:t xml:space="preserve">סעיף 8; </w:t>
      </w:r>
      <w:r w:rsidRPr="001B2F3E">
        <w:rPr>
          <w:rFonts w:ascii="Arial" w:hAnsi="Arial" w:hint="cs"/>
          <w:b/>
          <w:bCs/>
          <w:noProof w:val="0"/>
          <w:rtl/>
        </w:rPr>
        <w:t>חוק המתווכים תשנ"ו-1996</w:t>
      </w:r>
      <w:r w:rsidR="002D462F">
        <w:rPr>
          <w:rFonts w:ascii="Arial" w:hAnsi="Arial" w:hint="cs"/>
          <w:b/>
          <w:bCs/>
          <w:noProof w:val="0"/>
          <w:rtl/>
        </w:rPr>
        <w:t>,</w:t>
      </w:r>
      <w:r w:rsidRPr="001B2F3E">
        <w:rPr>
          <w:rFonts w:ascii="Arial" w:hAnsi="Arial" w:hint="cs"/>
          <w:b/>
          <w:bCs/>
          <w:noProof w:val="0"/>
          <w:rtl/>
        </w:rPr>
        <w:t xml:space="preserve"> </w:t>
      </w:r>
      <w:r w:rsidRPr="001B2F3E">
        <w:rPr>
          <w:rFonts w:ascii="Arial" w:hAnsi="Arial" w:hint="cs"/>
          <w:noProof w:val="0"/>
          <w:rtl/>
        </w:rPr>
        <w:t>סעיף 9;</w:t>
      </w:r>
    </w:p>
    <w:p w:rsidR="001B2F3E" w:rsidRDefault="001B2F3E" w:rsidP="001B2F3E">
      <w:pPr>
        <w:spacing w:line="360" w:lineRule="auto"/>
        <w:ind w:left="720"/>
        <w:jc w:val="both"/>
        <w:rPr>
          <w:rFonts w:ascii="Arial" w:hAnsi="Arial"/>
          <w:noProof w:val="0"/>
          <w:rtl/>
        </w:rPr>
      </w:pPr>
      <w:r>
        <w:rPr>
          <w:rFonts w:ascii="Arial" w:hAnsi="Arial" w:hint="cs"/>
          <w:noProof w:val="0"/>
          <w:rtl/>
        </w:rPr>
        <w:t xml:space="preserve">לעומת זאת, הדרישה </w:t>
      </w:r>
      <w:r w:rsidR="00E1205C">
        <w:rPr>
          <w:rFonts w:ascii="Arial" w:hAnsi="Arial" w:hint="cs"/>
          <w:noProof w:val="0"/>
          <w:rtl/>
        </w:rPr>
        <w:t>בחוק הביטוח הלאומי להגבלת שכר ט</w:t>
      </w:r>
      <w:r>
        <w:rPr>
          <w:rFonts w:ascii="Arial" w:hAnsi="Arial" w:hint="cs"/>
          <w:noProof w:val="0"/>
          <w:rtl/>
        </w:rPr>
        <w:t>רחה של מייצג אינה כורכת בתוכה דרישת כ</w:t>
      </w:r>
      <w:r w:rsidR="00E1205C">
        <w:rPr>
          <w:rFonts w:ascii="Arial" w:hAnsi="Arial" w:hint="cs"/>
          <w:noProof w:val="0"/>
          <w:rtl/>
        </w:rPr>
        <w:t>תב מובהקת. כלומר, הזכאות לשכר ט</w:t>
      </w:r>
      <w:r>
        <w:rPr>
          <w:rFonts w:ascii="Arial" w:hAnsi="Arial" w:hint="cs"/>
          <w:noProof w:val="0"/>
          <w:rtl/>
        </w:rPr>
        <w:t>רחה למייצג עשויה לקום גם ללא הסכם בכתב ובלבד שביצע את פעולות</w:t>
      </w:r>
      <w:r w:rsidR="00E1205C">
        <w:rPr>
          <w:rFonts w:ascii="Arial" w:hAnsi="Arial" w:hint="cs"/>
          <w:noProof w:val="0"/>
          <w:rtl/>
        </w:rPr>
        <w:t xml:space="preserve"> הייצוג הנדרשות והוא גובה שכר ט</w:t>
      </w:r>
      <w:r>
        <w:rPr>
          <w:rFonts w:ascii="Arial" w:hAnsi="Arial" w:hint="cs"/>
          <w:noProof w:val="0"/>
          <w:rtl/>
        </w:rPr>
        <w:t xml:space="preserve">רחה לפי התעריף המוכר בדין ולא מעבר לכך. </w:t>
      </w:r>
    </w:p>
    <w:p w:rsidR="001B2F3E" w:rsidRDefault="001B2F3E" w:rsidP="00967CC4">
      <w:pPr>
        <w:spacing w:line="360" w:lineRule="auto"/>
        <w:ind w:left="720"/>
        <w:jc w:val="both"/>
        <w:rPr>
          <w:rFonts w:ascii="Arial" w:hAnsi="Arial"/>
          <w:noProof w:val="0"/>
          <w:rtl/>
        </w:rPr>
      </w:pPr>
      <w:r>
        <w:rPr>
          <w:rFonts w:ascii="Arial" w:hAnsi="Arial" w:hint="cs"/>
          <w:noProof w:val="0"/>
          <w:rtl/>
        </w:rPr>
        <w:t xml:space="preserve">בענייננו, </w:t>
      </w:r>
      <w:r w:rsidR="00967CC4">
        <w:rPr>
          <w:rFonts w:ascii="Arial" w:hAnsi="Arial" w:hint="cs"/>
          <w:noProof w:val="0"/>
          <w:rtl/>
        </w:rPr>
        <w:t xml:space="preserve">עבודת </w:t>
      </w:r>
      <w:r>
        <w:rPr>
          <w:rFonts w:ascii="Arial" w:hAnsi="Arial" w:hint="cs"/>
          <w:noProof w:val="0"/>
          <w:rtl/>
        </w:rPr>
        <w:t xml:space="preserve">המערערת </w:t>
      </w:r>
      <w:r w:rsidR="00967CC4">
        <w:rPr>
          <w:rFonts w:ascii="Arial" w:hAnsi="Arial" w:hint="cs"/>
          <w:noProof w:val="0"/>
          <w:rtl/>
        </w:rPr>
        <w:t xml:space="preserve">מלמדת כי היא </w:t>
      </w:r>
      <w:r>
        <w:rPr>
          <w:rFonts w:ascii="Arial" w:hAnsi="Arial" w:hint="cs"/>
          <w:noProof w:val="0"/>
          <w:rtl/>
        </w:rPr>
        <w:t xml:space="preserve">זכאית </w:t>
      </w:r>
      <w:r w:rsidR="00E1205C">
        <w:rPr>
          <w:rFonts w:ascii="Arial" w:hAnsi="Arial" w:hint="cs"/>
          <w:noProof w:val="0"/>
          <w:rtl/>
        </w:rPr>
        <w:t>באופן עקרוני לשכר ט</w:t>
      </w:r>
      <w:r>
        <w:rPr>
          <w:rFonts w:ascii="Arial" w:hAnsi="Arial" w:hint="cs"/>
          <w:noProof w:val="0"/>
          <w:rtl/>
        </w:rPr>
        <w:t>רחה הראוי שפסק לה בית משפט קמא.</w:t>
      </w:r>
    </w:p>
    <w:p w:rsidR="001B2F3E" w:rsidRDefault="001B2F3E" w:rsidP="00B13CB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אני מאשרת קביעה זו. </w:t>
      </w:r>
    </w:p>
    <w:p w:rsidR="00A36475" w:rsidRDefault="00A36475" w:rsidP="00B13CBD">
      <w:pPr>
        <w:spacing w:line="360" w:lineRule="auto"/>
        <w:ind w:left="720" w:hanging="720"/>
        <w:jc w:val="both"/>
        <w:rPr>
          <w:rFonts w:ascii="Arial" w:hAnsi="Arial"/>
          <w:noProof w:val="0"/>
          <w:rtl/>
        </w:rPr>
      </w:pPr>
    </w:p>
    <w:p w:rsidR="00A36475" w:rsidRDefault="00967CC4" w:rsidP="00B13CBD">
      <w:pPr>
        <w:spacing w:line="360" w:lineRule="auto"/>
        <w:ind w:left="720" w:hanging="720"/>
        <w:jc w:val="both"/>
        <w:rPr>
          <w:rFonts w:ascii="Arial" w:hAnsi="Arial"/>
          <w:noProof w:val="0"/>
          <w:rtl/>
        </w:rPr>
      </w:pPr>
      <w:r>
        <w:rPr>
          <w:rFonts w:ascii="Arial" w:hAnsi="Arial" w:hint="cs"/>
          <w:noProof w:val="0"/>
          <w:rtl/>
        </w:rPr>
        <w:t>56</w:t>
      </w:r>
      <w:r w:rsidR="00A36475">
        <w:rPr>
          <w:rFonts w:ascii="Arial" w:hAnsi="Arial" w:hint="cs"/>
          <w:noProof w:val="0"/>
          <w:rtl/>
        </w:rPr>
        <w:t>.</w:t>
      </w:r>
      <w:r w:rsidR="00A36475">
        <w:rPr>
          <w:rFonts w:ascii="Arial" w:hAnsi="Arial" w:hint="cs"/>
          <w:noProof w:val="0"/>
          <w:rtl/>
        </w:rPr>
        <w:tab/>
      </w:r>
      <w:r w:rsidR="008E1310">
        <w:rPr>
          <w:rFonts w:ascii="Arial" w:hAnsi="Arial" w:hint="cs"/>
          <w:noProof w:val="0"/>
          <w:rtl/>
        </w:rPr>
        <w:t>האם שכר הט</w:t>
      </w:r>
      <w:r w:rsidR="00D45278">
        <w:rPr>
          <w:rFonts w:ascii="Arial" w:hAnsi="Arial" w:hint="cs"/>
          <w:noProof w:val="0"/>
          <w:rtl/>
        </w:rPr>
        <w:t>רחה שבית ה</w:t>
      </w:r>
      <w:r w:rsidR="008E1310">
        <w:rPr>
          <w:rFonts w:ascii="Arial" w:hAnsi="Arial" w:hint="cs"/>
          <w:noProof w:val="0"/>
          <w:rtl/>
        </w:rPr>
        <w:t>משפט קמא קבע הוא בגבולות שכר הט</w:t>
      </w:r>
      <w:r w:rsidR="00D45278">
        <w:rPr>
          <w:rFonts w:ascii="Arial" w:hAnsi="Arial" w:hint="cs"/>
          <w:noProof w:val="0"/>
          <w:rtl/>
        </w:rPr>
        <w:t>רחה הראוי וההוגן?</w:t>
      </w:r>
    </w:p>
    <w:p w:rsidR="00D45278" w:rsidRDefault="00D45278" w:rsidP="00B13CB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המערערת טוענת כי הייתה זכאית לסכומים גבוהים פי כמה.</w:t>
      </w:r>
    </w:p>
    <w:p w:rsidR="009717D1" w:rsidRDefault="00D45278" w:rsidP="00B13CBD">
      <w:pPr>
        <w:spacing w:line="360" w:lineRule="auto"/>
        <w:ind w:left="720" w:hanging="720"/>
        <w:jc w:val="both"/>
        <w:rPr>
          <w:rFonts w:ascii="Arial" w:hAnsi="Arial"/>
          <w:noProof w:val="0"/>
          <w:rtl/>
        </w:rPr>
      </w:pPr>
      <w:r>
        <w:rPr>
          <w:rFonts w:ascii="Arial" w:hAnsi="Arial"/>
          <w:noProof w:val="0"/>
          <w:rtl/>
        </w:rPr>
        <w:tab/>
      </w:r>
      <w:r w:rsidR="009717D1">
        <w:rPr>
          <w:rFonts w:ascii="Arial" w:hAnsi="Arial" w:hint="cs"/>
          <w:noProof w:val="0"/>
          <w:rtl/>
        </w:rPr>
        <w:t>לעניין זה ראיתי ל</w:t>
      </w:r>
      <w:r>
        <w:rPr>
          <w:rFonts w:ascii="Arial" w:hAnsi="Arial" w:hint="cs"/>
          <w:noProof w:val="0"/>
          <w:rtl/>
        </w:rPr>
        <w:t xml:space="preserve">יתן לבית המשפט קמא את הבכורה. </w:t>
      </w:r>
    </w:p>
    <w:p w:rsidR="00CE4B84" w:rsidRPr="00CE4B84" w:rsidRDefault="00CE4B84" w:rsidP="00CE4B84">
      <w:pPr>
        <w:spacing w:line="360" w:lineRule="auto"/>
        <w:ind w:left="720" w:hanging="720"/>
        <w:jc w:val="both"/>
        <w:rPr>
          <w:rFonts w:ascii="David" w:hAnsi="David"/>
          <w:noProof w:val="0"/>
          <w:rtl/>
        </w:rPr>
      </w:pPr>
      <w:r w:rsidRPr="00CE4B84">
        <w:rPr>
          <w:rFonts w:ascii="David" w:hAnsi="David"/>
          <w:noProof w:val="0"/>
          <w:rtl/>
        </w:rPr>
        <w:tab/>
      </w:r>
      <w:r w:rsidRPr="00CE4B84">
        <w:rPr>
          <w:rFonts w:ascii="David" w:hAnsi="David"/>
          <w:sz w:val="22"/>
          <w:rtl/>
        </w:rPr>
        <w:t xml:space="preserve">בנסיבות אלו של אי-וודאות, שמנסח ההסכם יכול היה למנוע, אך לא עשה כן, מן הראוי להניח לזכות לקוחתם של עורכי הדין, כי ציפייתם היא לכך שיחויבו </w:t>
      </w:r>
      <w:r w:rsidRPr="00CE4B84">
        <w:rPr>
          <w:rFonts w:ascii="David" w:hAnsi="David"/>
          <w:b/>
          <w:bCs/>
          <w:sz w:val="22"/>
          <w:rtl/>
        </w:rPr>
        <w:t>״בשכר הנמוך ביותר האפשרי״</w:t>
      </w:r>
      <w:r w:rsidRPr="00CE4B84">
        <w:rPr>
          <w:rFonts w:ascii="David" w:hAnsi="David"/>
          <w:sz w:val="22"/>
          <w:rtl/>
        </w:rPr>
        <w:t xml:space="preserve"> (ראו </w:t>
      </w:r>
      <w:r w:rsidRPr="00CE4B84">
        <w:rPr>
          <w:rFonts w:ascii="David" w:hAnsi="David"/>
          <w:rtl/>
        </w:rPr>
        <w:t xml:space="preserve">דניאל פרידמן </w:t>
      </w:r>
      <w:r w:rsidRPr="00CE4B84">
        <w:rPr>
          <w:rFonts w:ascii="David" w:hAnsi="David"/>
          <w:b/>
          <w:bCs/>
          <w:rtl/>
        </w:rPr>
        <w:t>"שכר-טרחה ראוי לעורך-דין"</w:t>
      </w:r>
      <w:r w:rsidRPr="00CE4B84">
        <w:rPr>
          <w:rFonts w:ascii="David" w:hAnsi="David"/>
          <w:rtl/>
        </w:rPr>
        <w:t xml:space="preserve"> </w:t>
      </w:r>
      <w:r w:rsidRPr="00CE4B84">
        <w:rPr>
          <w:rFonts w:ascii="David" w:hAnsi="David"/>
          <w:b/>
          <w:sz w:val="22"/>
          <w:rtl/>
        </w:rPr>
        <w:t>המשפט</w:t>
      </w:r>
      <w:r w:rsidRPr="00CE4B84">
        <w:rPr>
          <w:rFonts w:ascii="David" w:hAnsi="David"/>
          <w:rtl/>
        </w:rPr>
        <w:t xml:space="preserve"> כרך ב 105, 113-112 (התשנ"ה)</w:t>
      </w:r>
      <w:r w:rsidR="00967CC4">
        <w:rPr>
          <w:rFonts w:ascii="David" w:hAnsi="David" w:hint="cs"/>
          <w:rtl/>
        </w:rPr>
        <w:t>)</w:t>
      </w:r>
      <w:r>
        <w:rPr>
          <w:rFonts w:ascii="David" w:hAnsi="David" w:hint="cs"/>
          <w:noProof w:val="0"/>
          <w:rtl/>
        </w:rPr>
        <w:t>.</w:t>
      </w:r>
    </w:p>
    <w:p w:rsidR="00CE4B84" w:rsidRDefault="00CE4B84" w:rsidP="009717D1">
      <w:pPr>
        <w:spacing w:line="360" w:lineRule="auto"/>
        <w:ind w:left="720"/>
        <w:jc w:val="both"/>
        <w:rPr>
          <w:rFonts w:ascii="Arial" w:hAnsi="Arial"/>
          <w:noProof w:val="0"/>
          <w:rtl/>
        </w:rPr>
      </w:pPr>
      <w:r>
        <w:rPr>
          <w:rFonts w:ascii="Arial" w:hAnsi="Arial" w:hint="cs"/>
          <w:noProof w:val="0"/>
          <w:rtl/>
        </w:rPr>
        <w:t xml:space="preserve">ואכן, עולה כי שכר הטרחה הראוי שנפסק בסופו של יום על ידי בית משפט קמא, הוא על הצד הנמוך. </w:t>
      </w:r>
    </w:p>
    <w:p w:rsidR="00D45278" w:rsidRDefault="00D45278" w:rsidP="009717D1">
      <w:pPr>
        <w:spacing w:line="360" w:lineRule="auto"/>
        <w:ind w:left="720"/>
        <w:jc w:val="both"/>
        <w:rPr>
          <w:rFonts w:ascii="Arial" w:hAnsi="Arial"/>
          <w:noProof w:val="0"/>
          <w:rtl/>
        </w:rPr>
      </w:pPr>
      <w:r>
        <w:rPr>
          <w:rFonts w:ascii="Arial" w:hAnsi="Arial" w:hint="cs"/>
          <w:noProof w:val="0"/>
          <w:rtl/>
        </w:rPr>
        <w:t>בית המשפט קמא הוא זה ששמע את הצדדים ובחן את הראיות שהביאו לפניו.</w:t>
      </w:r>
    </w:p>
    <w:p w:rsidR="001B2F3E" w:rsidRDefault="00D45278" w:rsidP="00D45278">
      <w:pPr>
        <w:spacing w:line="360" w:lineRule="auto"/>
        <w:ind w:left="720" w:hanging="720"/>
        <w:jc w:val="both"/>
        <w:rPr>
          <w:rFonts w:ascii="Arial" w:hAnsi="Arial"/>
          <w:noProof w:val="0"/>
          <w:rtl/>
        </w:rPr>
      </w:pPr>
      <w:r>
        <w:rPr>
          <w:rFonts w:ascii="Arial" w:hAnsi="Arial"/>
          <w:noProof w:val="0"/>
          <w:rtl/>
        </w:rPr>
        <w:lastRenderedPageBreak/>
        <w:tab/>
      </w:r>
      <w:r w:rsidR="00E54971">
        <w:rPr>
          <w:rFonts w:ascii="Arial" w:hAnsi="Arial" w:hint="cs"/>
          <w:noProof w:val="0"/>
          <w:rtl/>
        </w:rPr>
        <w:t>ערכאת הערעור אינה נכנסת בנעלי הערכאה הדיונית</w:t>
      </w:r>
      <w:r w:rsidR="00F83488">
        <w:rPr>
          <w:rFonts w:ascii="Arial" w:hAnsi="Arial" w:hint="cs"/>
          <w:noProof w:val="0"/>
          <w:rtl/>
        </w:rPr>
        <w:t xml:space="preserve"> ואינה מחליפה את שיקול דעתה</w:t>
      </w:r>
      <w:r w:rsidR="009717D1">
        <w:rPr>
          <w:rFonts w:ascii="Arial" w:hAnsi="Arial" w:hint="cs"/>
          <w:noProof w:val="0"/>
          <w:rtl/>
        </w:rPr>
        <w:t>. כמבואר לעיל,</w:t>
      </w:r>
      <w:r>
        <w:rPr>
          <w:rFonts w:ascii="Arial" w:hAnsi="Arial" w:hint="cs"/>
          <w:noProof w:val="0"/>
          <w:rtl/>
        </w:rPr>
        <w:t xml:space="preserve"> רק אם נגלית טעות של ממש על פני הפסק היא מוסמכת לעשות כן.</w:t>
      </w:r>
    </w:p>
    <w:p w:rsidR="008E1310" w:rsidRDefault="00D45278" w:rsidP="008E1310">
      <w:pPr>
        <w:spacing w:line="360" w:lineRule="auto"/>
        <w:ind w:left="720"/>
        <w:jc w:val="both"/>
        <w:rPr>
          <w:rFonts w:ascii="Arial" w:hAnsi="Arial"/>
          <w:noProof w:val="0"/>
          <w:rtl/>
        </w:rPr>
      </w:pPr>
      <w:r>
        <w:rPr>
          <w:rFonts w:ascii="Arial" w:hAnsi="Arial" w:hint="cs"/>
          <w:noProof w:val="0"/>
          <w:rtl/>
        </w:rPr>
        <w:t>בענייננו, דעתה של המערערת לא הייתה נוחה מהתחשיבים שערך בית המשפט קמא ואכן</w:t>
      </w:r>
      <w:r w:rsidR="009717D1">
        <w:rPr>
          <w:rFonts w:ascii="Arial" w:hAnsi="Arial" w:hint="cs"/>
          <w:noProof w:val="0"/>
          <w:rtl/>
        </w:rPr>
        <w:t xml:space="preserve"> יש לומר כי התחשיבים לא נעשו בנדי</w:t>
      </w:r>
      <w:r>
        <w:rPr>
          <w:rFonts w:ascii="Arial" w:hAnsi="Arial" w:hint="cs"/>
          <w:noProof w:val="0"/>
          <w:rtl/>
        </w:rPr>
        <w:t xml:space="preserve">בות. יחד עם זאת, התחשיבים </w:t>
      </w:r>
      <w:r w:rsidR="00CE4B84">
        <w:rPr>
          <w:rFonts w:ascii="Arial" w:hAnsi="Arial" w:hint="cs"/>
          <w:noProof w:val="0"/>
          <w:rtl/>
        </w:rPr>
        <w:t>אינם חורגים לטעמי מגדר</w:t>
      </w:r>
      <w:r w:rsidR="00F83488">
        <w:rPr>
          <w:rFonts w:ascii="Arial" w:hAnsi="Arial" w:hint="cs"/>
          <w:noProof w:val="0"/>
          <w:rtl/>
        </w:rPr>
        <w:t xml:space="preserve"> הסביר. </w:t>
      </w:r>
      <w:r w:rsidR="00CE4B84">
        <w:rPr>
          <w:rFonts w:ascii="Arial" w:hAnsi="Arial" w:hint="cs"/>
          <w:noProof w:val="0"/>
          <w:rtl/>
        </w:rPr>
        <w:t>לטעמי</w:t>
      </w:r>
      <w:r w:rsidR="00F83488">
        <w:rPr>
          <w:rFonts w:ascii="Arial" w:hAnsi="Arial" w:hint="cs"/>
          <w:noProof w:val="0"/>
          <w:rtl/>
        </w:rPr>
        <w:t>,</w:t>
      </w:r>
      <w:r w:rsidR="00CE4B84">
        <w:rPr>
          <w:rFonts w:ascii="Arial" w:hAnsi="Arial" w:hint="cs"/>
          <w:noProof w:val="0"/>
          <w:rtl/>
        </w:rPr>
        <w:t xml:space="preserve"> הם גם מתחשבים בעובדה שאין לפנינו הסכם שכר טרחה בכתב שממנו ניתן בהכרח לגזור אותם</w:t>
      </w:r>
      <w:r w:rsidR="008E1310">
        <w:rPr>
          <w:rFonts w:ascii="Arial" w:hAnsi="Arial" w:hint="cs"/>
          <w:noProof w:val="0"/>
          <w:rtl/>
        </w:rPr>
        <w:t xml:space="preserve">. </w:t>
      </w:r>
    </w:p>
    <w:p w:rsidR="00D45278" w:rsidRDefault="00F83488" w:rsidP="008E1310">
      <w:pPr>
        <w:spacing w:line="360" w:lineRule="auto"/>
        <w:ind w:left="720"/>
        <w:jc w:val="both"/>
        <w:rPr>
          <w:rFonts w:ascii="Arial" w:hAnsi="Arial"/>
          <w:noProof w:val="0"/>
          <w:rtl/>
        </w:rPr>
      </w:pPr>
      <w:r>
        <w:rPr>
          <w:rFonts w:ascii="Arial" w:hAnsi="Arial" w:hint="cs"/>
          <w:noProof w:val="0"/>
          <w:rtl/>
        </w:rPr>
        <w:t xml:space="preserve">על כן, </w:t>
      </w:r>
      <w:r w:rsidR="00D45278">
        <w:rPr>
          <w:rFonts w:ascii="Arial" w:hAnsi="Arial" w:hint="cs"/>
          <w:noProof w:val="0"/>
          <w:rtl/>
        </w:rPr>
        <w:t>לא ראיתי כי יש מקום להתערב ולהחליף את שיקול דעתו של בית משפט קמא בשיקול דעתי שלי</w:t>
      </w:r>
      <w:r w:rsidR="008E1310">
        <w:rPr>
          <w:rFonts w:ascii="Arial" w:hAnsi="Arial" w:hint="cs"/>
          <w:noProof w:val="0"/>
          <w:rtl/>
        </w:rPr>
        <w:t>, בנוגע לגובה הסכומים שנפסקו</w:t>
      </w:r>
      <w:r w:rsidR="00D45278">
        <w:rPr>
          <w:rFonts w:ascii="Arial" w:hAnsi="Arial" w:hint="cs"/>
          <w:noProof w:val="0"/>
          <w:rtl/>
        </w:rPr>
        <w:t xml:space="preserve">. </w:t>
      </w:r>
    </w:p>
    <w:p w:rsidR="00D45278" w:rsidRDefault="00D45278" w:rsidP="00D45278">
      <w:pPr>
        <w:spacing w:line="360" w:lineRule="auto"/>
        <w:ind w:left="720"/>
        <w:jc w:val="both"/>
        <w:rPr>
          <w:rFonts w:ascii="Arial" w:hAnsi="Arial"/>
          <w:noProof w:val="0"/>
          <w:rtl/>
        </w:rPr>
      </w:pPr>
      <w:r>
        <w:rPr>
          <w:rFonts w:ascii="Arial" w:hAnsi="Arial" w:hint="cs"/>
          <w:noProof w:val="0"/>
          <w:rtl/>
        </w:rPr>
        <w:t>אילו ההליך היה מובא לפני מלכתחילה, כערכאה ראשונה, ייתכן והסכומים היו נפסקים כלפי</w:t>
      </w:r>
      <w:r w:rsidR="008E1310">
        <w:rPr>
          <w:rFonts w:ascii="Arial" w:hAnsi="Arial" w:hint="cs"/>
          <w:noProof w:val="0"/>
          <w:rtl/>
        </w:rPr>
        <w:t xml:space="preserve"> מעלה,</w:t>
      </w:r>
      <w:r>
        <w:rPr>
          <w:rFonts w:ascii="Arial" w:hAnsi="Arial" w:hint="cs"/>
          <w:noProof w:val="0"/>
          <w:rtl/>
        </w:rPr>
        <w:t xml:space="preserve"> אולם כערכאת ערעור אין לי אלא לאשר את קביעותיו של בית המשפט ששמע את הראיות והתרשם מ</w:t>
      </w:r>
      <w:r w:rsidR="009717D1">
        <w:rPr>
          <w:rFonts w:ascii="Arial" w:hAnsi="Arial" w:hint="cs"/>
          <w:noProof w:val="0"/>
          <w:rtl/>
        </w:rPr>
        <w:t xml:space="preserve">ן </w:t>
      </w:r>
      <w:r>
        <w:rPr>
          <w:rFonts w:ascii="Arial" w:hAnsi="Arial" w:hint="cs"/>
          <w:noProof w:val="0"/>
          <w:rtl/>
        </w:rPr>
        <w:t xml:space="preserve">הצדדים באופן בלתי אמצעי. </w:t>
      </w:r>
    </w:p>
    <w:p w:rsidR="00D45278" w:rsidRDefault="00D45278" w:rsidP="00D45278">
      <w:pPr>
        <w:spacing w:line="360" w:lineRule="auto"/>
        <w:ind w:left="720"/>
        <w:jc w:val="both"/>
        <w:rPr>
          <w:rFonts w:ascii="Arial" w:hAnsi="Arial"/>
          <w:noProof w:val="0"/>
          <w:rtl/>
        </w:rPr>
      </w:pPr>
    </w:p>
    <w:p w:rsidR="00D45278" w:rsidRDefault="000B7147" w:rsidP="008E1310">
      <w:pPr>
        <w:spacing w:line="360" w:lineRule="auto"/>
        <w:ind w:left="720" w:hanging="720"/>
        <w:jc w:val="both"/>
        <w:rPr>
          <w:rFonts w:ascii="Arial" w:hAnsi="Arial"/>
          <w:noProof w:val="0"/>
          <w:rtl/>
        </w:rPr>
      </w:pPr>
      <w:r>
        <w:rPr>
          <w:rFonts w:ascii="Arial" w:hAnsi="Arial" w:hint="cs"/>
          <w:noProof w:val="0"/>
          <w:rtl/>
        </w:rPr>
        <w:t>57</w:t>
      </w:r>
      <w:r w:rsidR="00D45278">
        <w:rPr>
          <w:rFonts w:ascii="Arial" w:hAnsi="Arial" w:hint="cs"/>
          <w:noProof w:val="0"/>
          <w:rtl/>
        </w:rPr>
        <w:t>.</w:t>
      </w:r>
      <w:r w:rsidR="00D45278">
        <w:rPr>
          <w:rFonts w:ascii="Arial" w:hAnsi="Arial" w:hint="cs"/>
          <w:noProof w:val="0"/>
          <w:rtl/>
        </w:rPr>
        <w:tab/>
      </w:r>
      <w:r w:rsidR="002845B1">
        <w:rPr>
          <w:rFonts w:ascii="Arial" w:hAnsi="Arial" w:hint="cs"/>
          <w:noProof w:val="0"/>
          <w:rtl/>
        </w:rPr>
        <w:t xml:space="preserve">אכן, העובדה שתביעה העומדת על סך של 128,259 ₪ </w:t>
      </w:r>
      <w:r w:rsidR="009717D1">
        <w:rPr>
          <w:rFonts w:ascii="Arial" w:hAnsi="Arial" w:hint="cs"/>
          <w:noProof w:val="0"/>
          <w:rtl/>
        </w:rPr>
        <w:t xml:space="preserve">ומשקפת </w:t>
      </w:r>
      <w:r w:rsidR="008E1310">
        <w:rPr>
          <w:rFonts w:ascii="Arial" w:hAnsi="Arial" w:hint="cs"/>
          <w:noProof w:val="0"/>
          <w:rtl/>
        </w:rPr>
        <w:t xml:space="preserve">על פניה </w:t>
      </w:r>
      <w:r w:rsidR="009717D1">
        <w:rPr>
          <w:rFonts w:ascii="Arial" w:hAnsi="Arial" w:hint="cs"/>
          <w:noProof w:val="0"/>
          <w:rtl/>
        </w:rPr>
        <w:t xml:space="preserve">עבודה שהניבה למשיבה תמורה משמעותית, </w:t>
      </w:r>
      <w:r w:rsidR="002845B1">
        <w:rPr>
          <w:rFonts w:ascii="Arial" w:hAnsi="Arial" w:hint="cs"/>
          <w:noProof w:val="0"/>
          <w:rtl/>
        </w:rPr>
        <w:t>הסתיימה בסופו של דבר בפסיקת שכר טירחה בסך של 7,261 ₪ בלבד</w:t>
      </w:r>
      <w:r w:rsidR="008E1310">
        <w:rPr>
          <w:rFonts w:ascii="Arial" w:hAnsi="Arial" w:hint="cs"/>
          <w:noProof w:val="0"/>
          <w:rtl/>
        </w:rPr>
        <w:t>,</w:t>
      </w:r>
      <w:r w:rsidR="002845B1">
        <w:rPr>
          <w:rFonts w:ascii="Arial" w:hAnsi="Arial" w:hint="cs"/>
          <w:noProof w:val="0"/>
          <w:rtl/>
        </w:rPr>
        <w:t xml:space="preserve"> אינה נוחה. במיוחד נוכח היקף העבודה שהשקיעה המערערת אשר נחשף לנגד עיני במסגרת הערעור. </w:t>
      </w:r>
    </w:p>
    <w:p w:rsidR="002845B1" w:rsidRDefault="002845B1" w:rsidP="002845B1">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אולם, בהתחשב בכך שהתמונה הרחבה כולה הובאה לפני בית המשפט קמא</w:t>
      </w:r>
      <w:r w:rsidR="008E1310">
        <w:rPr>
          <w:rFonts w:ascii="Arial" w:hAnsi="Arial" w:hint="cs"/>
          <w:noProof w:val="0"/>
          <w:rtl/>
        </w:rPr>
        <w:t>,</w:t>
      </w:r>
      <w:r>
        <w:rPr>
          <w:rFonts w:ascii="Arial" w:hAnsi="Arial" w:hint="cs"/>
          <w:noProof w:val="0"/>
          <w:rtl/>
        </w:rPr>
        <w:t xml:space="preserve"> כולל הישיבות שהמערערת התייצבה בהן עבור המשיבה והפע</w:t>
      </w:r>
      <w:r w:rsidR="008E1310">
        <w:rPr>
          <w:rFonts w:ascii="Arial" w:hAnsi="Arial" w:hint="cs"/>
          <w:noProof w:val="0"/>
          <w:rtl/>
        </w:rPr>
        <w:t>ולות שבוצעו, ובהתייחס לשכר הט</w:t>
      </w:r>
      <w:r>
        <w:rPr>
          <w:rFonts w:ascii="Arial" w:hAnsi="Arial" w:hint="cs"/>
          <w:noProof w:val="0"/>
          <w:rtl/>
        </w:rPr>
        <w:t xml:space="preserve">רחה ששולם ע"י המשיבה לידי המערערת לאורך השנים, </w:t>
      </w:r>
      <w:r w:rsidR="0029346F">
        <w:rPr>
          <w:rFonts w:ascii="Arial" w:hAnsi="Arial" w:hint="cs"/>
          <w:noProof w:val="0"/>
          <w:rtl/>
        </w:rPr>
        <w:t>הרי שקביעה זו לא נמצאה ראויה</w:t>
      </w:r>
      <w:r w:rsidR="009717D1">
        <w:rPr>
          <w:rFonts w:ascii="Arial" w:hAnsi="Arial" w:hint="cs"/>
          <w:noProof w:val="0"/>
          <w:rtl/>
        </w:rPr>
        <w:t xml:space="preserve"> על ידי </w:t>
      </w:r>
      <w:r w:rsidR="0029346F">
        <w:rPr>
          <w:rFonts w:ascii="Arial" w:hAnsi="Arial" w:hint="cs"/>
          <w:noProof w:val="0"/>
          <w:rtl/>
        </w:rPr>
        <w:t xml:space="preserve"> להתערבות שיפוטית. </w:t>
      </w:r>
    </w:p>
    <w:p w:rsidR="0029346F" w:rsidRDefault="0029346F" w:rsidP="002845B1">
      <w:pPr>
        <w:spacing w:line="360" w:lineRule="auto"/>
        <w:ind w:left="720" w:hanging="720"/>
        <w:jc w:val="both"/>
        <w:rPr>
          <w:rFonts w:ascii="Arial" w:hAnsi="Arial"/>
          <w:noProof w:val="0"/>
          <w:rtl/>
        </w:rPr>
      </w:pPr>
    </w:p>
    <w:p w:rsidR="0029346F" w:rsidRDefault="000B7147" w:rsidP="002845B1">
      <w:pPr>
        <w:spacing w:line="360" w:lineRule="auto"/>
        <w:ind w:left="720" w:hanging="720"/>
        <w:jc w:val="both"/>
        <w:rPr>
          <w:rFonts w:ascii="Arial" w:hAnsi="Arial"/>
          <w:noProof w:val="0"/>
          <w:rtl/>
        </w:rPr>
      </w:pPr>
      <w:r>
        <w:rPr>
          <w:rFonts w:ascii="Arial" w:hAnsi="Arial" w:hint="cs"/>
          <w:noProof w:val="0"/>
          <w:rtl/>
        </w:rPr>
        <w:t>58</w:t>
      </w:r>
      <w:r w:rsidR="0029346F">
        <w:rPr>
          <w:rFonts w:ascii="Arial" w:hAnsi="Arial" w:hint="cs"/>
          <w:noProof w:val="0"/>
          <w:rtl/>
        </w:rPr>
        <w:t>.</w:t>
      </w:r>
      <w:r w:rsidR="0029346F">
        <w:rPr>
          <w:rFonts w:ascii="Arial" w:hAnsi="Arial" w:hint="cs"/>
          <w:noProof w:val="0"/>
          <w:rtl/>
        </w:rPr>
        <w:tab/>
        <w:t>יצוין כי בישיבת יום 27.3.2024 ציינה המערערת כי הפיקה את הלקחים כתו</w:t>
      </w:r>
      <w:r w:rsidR="009717D1">
        <w:rPr>
          <w:rFonts w:ascii="Arial" w:hAnsi="Arial" w:hint="cs"/>
          <w:noProof w:val="0"/>
          <w:rtl/>
        </w:rPr>
        <w:t>צאה מכך וכי עתה היא מקפידה לא ל</w:t>
      </w:r>
      <w:r w:rsidR="0029346F">
        <w:rPr>
          <w:rFonts w:ascii="Arial" w:hAnsi="Arial" w:hint="cs"/>
          <w:noProof w:val="0"/>
          <w:rtl/>
        </w:rPr>
        <w:t xml:space="preserve">יתן אמון ולהחתים לקוחות על קלה כבחמורה (ראו עמ' 3 לפרוטוקול ש' 29- 30). </w:t>
      </w:r>
    </w:p>
    <w:p w:rsidR="0029346F" w:rsidRDefault="0029346F" w:rsidP="00D41CB1">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מצד אחד, ברמה </w:t>
      </w:r>
      <w:r w:rsidR="00D41CB1">
        <w:rPr>
          <w:rFonts w:ascii="Arial" w:hAnsi="Arial" w:hint="cs"/>
          <w:noProof w:val="0"/>
          <w:rtl/>
        </w:rPr>
        <w:t>המקצועית</w:t>
      </w:r>
      <w:r>
        <w:rPr>
          <w:rFonts w:ascii="Arial" w:hAnsi="Arial" w:hint="cs"/>
          <w:noProof w:val="0"/>
          <w:rtl/>
        </w:rPr>
        <w:t xml:space="preserve"> מצער לשמוע כי היחסים בין עורך דין לבין לקוחו מגיעים לדרגה שכזו וכי האמון שהמערערת רחשה ללקוחותיה בעבר נפגם. אך מצד שני, </w:t>
      </w:r>
      <w:r w:rsidR="009717D1">
        <w:rPr>
          <w:rFonts w:ascii="Arial" w:hAnsi="Arial" w:hint="cs"/>
          <w:noProof w:val="0"/>
          <w:rtl/>
        </w:rPr>
        <w:t>השקיפות</w:t>
      </w:r>
      <w:r>
        <w:rPr>
          <w:rFonts w:ascii="Arial" w:hAnsi="Arial" w:hint="cs"/>
          <w:noProof w:val="0"/>
          <w:rtl/>
        </w:rPr>
        <w:t xml:space="preserve"> והוודאות שיש בהסכם כתוב, לעולם גוברת</w:t>
      </w:r>
      <w:r w:rsidR="009717D1">
        <w:rPr>
          <w:rFonts w:ascii="Arial" w:hAnsi="Arial" w:hint="cs"/>
          <w:noProof w:val="0"/>
          <w:rtl/>
        </w:rPr>
        <w:t xml:space="preserve">. </w:t>
      </w:r>
      <w:r>
        <w:rPr>
          <w:rFonts w:ascii="Arial" w:hAnsi="Arial" w:hint="cs"/>
          <w:noProof w:val="0"/>
          <w:rtl/>
        </w:rPr>
        <w:t>מן הסתם יביא הדבר תועלת בעתיד גם למערערת באופן אישי וגם לציבור עורכי הדין.</w:t>
      </w:r>
    </w:p>
    <w:p w:rsidR="00BA691A" w:rsidRDefault="0029346F" w:rsidP="00D41CB1">
      <w:pPr>
        <w:spacing w:line="360" w:lineRule="auto"/>
        <w:ind w:left="720" w:hanging="720"/>
        <w:jc w:val="both"/>
        <w:rPr>
          <w:rFonts w:ascii="Arial" w:hAnsi="Arial"/>
          <w:noProof w:val="0"/>
          <w:rtl/>
        </w:rPr>
      </w:pPr>
      <w:r>
        <w:rPr>
          <w:rFonts w:ascii="Arial" w:hAnsi="Arial"/>
          <w:noProof w:val="0"/>
          <w:rtl/>
        </w:rPr>
        <w:tab/>
      </w:r>
      <w:r w:rsidR="00BA691A">
        <w:rPr>
          <w:rFonts w:ascii="Arial" w:hAnsi="Arial" w:hint="cs"/>
          <w:noProof w:val="0"/>
          <w:rtl/>
        </w:rPr>
        <w:t xml:space="preserve">תיקון 161 לחוק </w:t>
      </w:r>
      <w:r>
        <w:rPr>
          <w:rFonts w:ascii="Arial" w:hAnsi="Arial" w:hint="cs"/>
          <w:noProof w:val="0"/>
          <w:rtl/>
        </w:rPr>
        <w:t>נו</w:t>
      </w:r>
      <w:r w:rsidR="00BA691A">
        <w:rPr>
          <w:rFonts w:ascii="Arial" w:hAnsi="Arial" w:hint="cs"/>
          <w:noProof w:val="0"/>
          <w:rtl/>
        </w:rPr>
        <w:t>עד להיטיב מצבם של מבקשי הקצבאות.</w:t>
      </w:r>
      <w:r>
        <w:rPr>
          <w:rFonts w:ascii="Arial" w:hAnsi="Arial" w:hint="cs"/>
          <w:noProof w:val="0"/>
          <w:rtl/>
        </w:rPr>
        <w:t xml:space="preserve"> שלא יפלו בידי גורמים המפיקים רווח מופר</w:t>
      </w:r>
      <w:r w:rsidR="00F66E3C">
        <w:rPr>
          <w:rFonts w:ascii="Arial" w:hAnsi="Arial" w:hint="cs"/>
          <w:noProof w:val="0"/>
          <w:rtl/>
        </w:rPr>
        <w:t>ז ממצבם המוחלש. אך בצד זאת</w:t>
      </w:r>
      <w:r w:rsidR="00BA691A">
        <w:rPr>
          <w:rFonts w:ascii="Arial" w:hAnsi="Arial" w:hint="cs"/>
          <w:noProof w:val="0"/>
          <w:rtl/>
        </w:rPr>
        <w:t>,</w:t>
      </w:r>
      <w:r w:rsidR="00F66E3C">
        <w:rPr>
          <w:rFonts w:ascii="Arial" w:hAnsi="Arial" w:hint="cs"/>
          <w:noProof w:val="0"/>
          <w:rtl/>
        </w:rPr>
        <w:t xml:space="preserve"> יש להגן גם על נותני השירותים המבצעים עבודה ראויה כדי שיזכו לשכר הראוי. </w:t>
      </w:r>
    </w:p>
    <w:p w:rsidR="00BA691A" w:rsidRDefault="00F66E3C" w:rsidP="00BA691A">
      <w:pPr>
        <w:spacing w:line="360" w:lineRule="auto"/>
        <w:ind w:left="720"/>
        <w:jc w:val="both"/>
        <w:rPr>
          <w:rFonts w:ascii="Arial" w:hAnsi="Arial"/>
          <w:noProof w:val="0"/>
          <w:rtl/>
        </w:rPr>
      </w:pPr>
      <w:r>
        <w:rPr>
          <w:rFonts w:ascii="Arial" w:hAnsi="Arial" w:hint="cs"/>
          <w:noProof w:val="0"/>
          <w:rtl/>
        </w:rPr>
        <w:t xml:space="preserve">הדברים נאמרים במישור העקרוני. </w:t>
      </w:r>
    </w:p>
    <w:p w:rsidR="0029346F" w:rsidRDefault="00BA691A" w:rsidP="00BA691A">
      <w:pPr>
        <w:spacing w:line="360" w:lineRule="auto"/>
        <w:ind w:left="720"/>
        <w:jc w:val="both"/>
        <w:rPr>
          <w:rFonts w:ascii="Arial" w:hAnsi="Arial"/>
          <w:noProof w:val="0"/>
          <w:rtl/>
        </w:rPr>
      </w:pPr>
      <w:r>
        <w:rPr>
          <w:rFonts w:ascii="Arial" w:hAnsi="Arial" w:hint="cs"/>
          <w:noProof w:val="0"/>
          <w:rtl/>
        </w:rPr>
        <w:lastRenderedPageBreak/>
        <w:t xml:space="preserve">על כן טוב עושה המערערת, כאשר </w:t>
      </w:r>
      <w:r w:rsidR="00F66E3C">
        <w:rPr>
          <w:rFonts w:ascii="Arial" w:hAnsi="Arial" w:hint="cs"/>
          <w:noProof w:val="0"/>
          <w:rtl/>
        </w:rPr>
        <w:t>משלב זה ואילך היא מקבעת את זכויותיה לקבל את המגיע לה בגין תמורת עבודתה</w:t>
      </w:r>
      <w:r>
        <w:rPr>
          <w:rFonts w:ascii="Arial" w:hAnsi="Arial" w:hint="cs"/>
          <w:noProof w:val="0"/>
          <w:rtl/>
        </w:rPr>
        <w:t xml:space="preserve"> בהסכם כתוב</w:t>
      </w:r>
      <w:r w:rsidR="00F66E3C">
        <w:rPr>
          <w:rFonts w:ascii="Arial" w:hAnsi="Arial" w:hint="cs"/>
          <w:noProof w:val="0"/>
          <w:rtl/>
        </w:rPr>
        <w:t>. י</w:t>
      </w:r>
      <w:r>
        <w:rPr>
          <w:rFonts w:ascii="Arial" w:hAnsi="Arial" w:hint="cs"/>
          <w:noProof w:val="0"/>
          <w:rtl/>
        </w:rPr>
        <w:t>י</w:t>
      </w:r>
      <w:r w:rsidR="00F66E3C">
        <w:rPr>
          <w:rFonts w:ascii="Arial" w:hAnsi="Arial" w:hint="cs"/>
          <w:noProof w:val="0"/>
          <w:rtl/>
        </w:rPr>
        <w:t xml:space="preserve">דע כל פרקליט כי עליו להגן על לקוחותיו אך גם על עצמו, ולהחתים על הסכמים על מנת שתמורת עבודתו תשולם לו ללא עוררין. </w:t>
      </w:r>
    </w:p>
    <w:p w:rsidR="001B2F3E" w:rsidRDefault="001B2F3E" w:rsidP="00B13CBD">
      <w:pPr>
        <w:spacing w:line="360" w:lineRule="auto"/>
        <w:ind w:left="720" w:hanging="720"/>
        <w:jc w:val="both"/>
        <w:rPr>
          <w:rFonts w:ascii="Arial" w:hAnsi="Arial"/>
          <w:noProof w:val="0"/>
          <w:rtl/>
        </w:rPr>
      </w:pPr>
    </w:p>
    <w:p w:rsidR="00442867" w:rsidRDefault="000B7147" w:rsidP="00F66E3C">
      <w:pPr>
        <w:spacing w:line="360" w:lineRule="auto"/>
        <w:ind w:left="720" w:hanging="720"/>
        <w:jc w:val="both"/>
        <w:rPr>
          <w:rFonts w:ascii="Arial" w:hAnsi="Arial"/>
          <w:noProof w:val="0"/>
          <w:rtl/>
        </w:rPr>
      </w:pPr>
      <w:r>
        <w:rPr>
          <w:rFonts w:ascii="Arial" w:hAnsi="Arial" w:hint="cs"/>
          <w:noProof w:val="0"/>
          <w:rtl/>
        </w:rPr>
        <w:t>59</w:t>
      </w:r>
      <w:r w:rsidR="00F66E3C">
        <w:rPr>
          <w:rFonts w:ascii="Arial" w:hAnsi="Arial" w:hint="cs"/>
          <w:noProof w:val="0"/>
          <w:rtl/>
        </w:rPr>
        <w:t>.</w:t>
      </w:r>
      <w:r w:rsidR="00F66E3C">
        <w:rPr>
          <w:rFonts w:ascii="Arial" w:hAnsi="Arial" w:hint="cs"/>
          <w:noProof w:val="0"/>
          <w:rtl/>
        </w:rPr>
        <w:tab/>
        <w:t>לאחר שכל זאת נאמר, מסקנתי היא כי אין להתערב בפסק הדין של בית משפט קמא ביחס לערעור המערערת לכאן או לכאן. זאת עם כל ההבנה וההערכה על העבודה הרבה שהשקיעה המערערת בעניינה של המשיבה.</w:t>
      </w:r>
    </w:p>
    <w:p w:rsidR="00F66E3C" w:rsidRDefault="00F66E3C" w:rsidP="00F66E3C">
      <w:pPr>
        <w:spacing w:line="360" w:lineRule="auto"/>
        <w:ind w:left="720" w:hanging="720"/>
        <w:jc w:val="both"/>
        <w:rPr>
          <w:rFonts w:ascii="Arial" w:hAnsi="Arial"/>
          <w:noProof w:val="0"/>
          <w:rtl/>
        </w:rPr>
      </w:pPr>
    </w:p>
    <w:p w:rsidR="00F66E3C" w:rsidRDefault="000B7147" w:rsidP="00F66E3C">
      <w:pPr>
        <w:spacing w:line="360" w:lineRule="auto"/>
        <w:ind w:left="720" w:hanging="720"/>
        <w:jc w:val="both"/>
        <w:rPr>
          <w:rFonts w:ascii="Arial" w:hAnsi="Arial"/>
          <w:noProof w:val="0"/>
          <w:rtl/>
        </w:rPr>
      </w:pPr>
      <w:r>
        <w:rPr>
          <w:rFonts w:ascii="Arial" w:hAnsi="Arial" w:hint="cs"/>
          <w:noProof w:val="0"/>
          <w:rtl/>
        </w:rPr>
        <w:t>60</w:t>
      </w:r>
      <w:r w:rsidR="00F66E3C">
        <w:rPr>
          <w:rFonts w:ascii="Arial" w:hAnsi="Arial" w:hint="cs"/>
          <w:noProof w:val="0"/>
          <w:rtl/>
        </w:rPr>
        <w:t>.</w:t>
      </w:r>
      <w:r w:rsidR="00F66E3C">
        <w:rPr>
          <w:rFonts w:ascii="Arial" w:hAnsi="Arial" w:hint="cs"/>
          <w:noProof w:val="0"/>
          <w:rtl/>
        </w:rPr>
        <w:tab/>
        <w:t>מכאן אעבור לדון בערעור המשיב</w:t>
      </w:r>
      <w:r w:rsidR="00D41CB1">
        <w:rPr>
          <w:rFonts w:ascii="Arial" w:hAnsi="Arial" w:hint="cs"/>
          <w:noProof w:val="0"/>
          <w:rtl/>
        </w:rPr>
        <w:t>ה</w:t>
      </w:r>
      <w:r w:rsidR="00F66E3C">
        <w:rPr>
          <w:rFonts w:ascii="Arial" w:hAnsi="Arial" w:hint="cs"/>
          <w:noProof w:val="0"/>
          <w:rtl/>
        </w:rPr>
        <w:t xml:space="preserve">. </w:t>
      </w:r>
    </w:p>
    <w:p w:rsidR="00BA691A" w:rsidRDefault="00F66E3C" w:rsidP="00304B44">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מדובר בערעור שטוב היה אילו לא היה מוגש כלל. </w:t>
      </w:r>
    </w:p>
    <w:p w:rsidR="00BA691A" w:rsidRDefault="00F66E3C" w:rsidP="00BA691A">
      <w:pPr>
        <w:spacing w:line="360" w:lineRule="auto"/>
        <w:ind w:left="720"/>
        <w:jc w:val="both"/>
        <w:rPr>
          <w:rFonts w:ascii="Arial" w:hAnsi="Arial"/>
          <w:noProof w:val="0"/>
          <w:rtl/>
        </w:rPr>
      </w:pPr>
      <w:r>
        <w:rPr>
          <w:rFonts w:ascii="Arial" w:hAnsi="Arial" w:hint="cs"/>
          <w:noProof w:val="0"/>
          <w:rtl/>
        </w:rPr>
        <w:t>נראה כי ערעור המשיב</w:t>
      </w:r>
      <w:r w:rsidR="00D41CB1">
        <w:rPr>
          <w:rFonts w:ascii="Arial" w:hAnsi="Arial" w:hint="cs"/>
          <w:noProof w:val="0"/>
          <w:rtl/>
        </w:rPr>
        <w:t>ה</w:t>
      </w:r>
      <w:r>
        <w:rPr>
          <w:rFonts w:ascii="Arial" w:hAnsi="Arial" w:hint="cs"/>
          <w:noProof w:val="0"/>
          <w:rtl/>
        </w:rPr>
        <w:t xml:space="preserve"> נועד לשמש משקל נגד </w:t>
      </w:r>
      <w:r w:rsidR="00304B44">
        <w:rPr>
          <w:rFonts w:ascii="Arial" w:hAnsi="Arial" w:hint="cs"/>
          <w:noProof w:val="0"/>
          <w:rtl/>
        </w:rPr>
        <w:t xml:space="preserve">לערעור הראשי. </w:t>
      </w:r>
    </w:p>
    <w:p w:rsidR="00442867" w:rsidRDefault="00304B44" w:rsidP="00EB2778">
      <w:pPr>
        <w:spacing w:line="360" w:lineRule="auto"/>
        <w:ind w:left="720"/>
        <w:jc w:val="both"/>
        <w:rPr>
          <w:rFonts w:ascii="Arial" w:hAnsi="Arial"/>
          <w:noProof w:val="0"/>
          <w:rtl/>
        </w:rPr>
      </w:pPr>
      <w:r>
        <w:rPr>
          <w:rFonts w:ascii="Arial" w:hAnsi="Arial" w:hint="cs"/>
          <w:noProof w:val="0"/>
          <w:rtl/>
        </w:rPr>
        <w:t xml:space="preserve">בפועל, לאור העבודה הרבה שהמערערת השקיעה בעניינה </w:t>
      </w:r>
      <w:r w:rsidR="00D41CB1">
        <w:rPr>
          <w:rFonts w:ascii="Arial" w:hAnsi="Arial" w:hint="cs"/>
          <w:noProof w:val="0"/>
          <w:rtl/>
        </w:rPr>
        <w:t>של המשיבה מעבר להיקפו של שכר הט</w:t>
      </w:r>
      <w:r>
        <w:rPr>
          <w:rFonts w:ascii="Arial" w:hAnsi="Arial" w:hint="cs"/>
          <w:noProof w:val="0"/>
          <w:rtl/>
        </w:rPr>
        <w:t xml:space="preserve">רחה המקורי </w:t>
      </w:r>
      <w:r w:rsidR="00D41CB1">
        <w:rPr>
          <w:rFonts w:ascii="Arial" w:hAnsi="Arial" w:hint="cs"/>
          <w:noProof w:val="0"/>
          <w:rtl/>
        </w:rPr>
        <w:t xml:space="preserve">שנקבע </w:t>
      </w:r>
      <w:r>
        <w:rPr>
          <w:rFonts w:ascii="Arial" w:hAnsi="Arial" w:hint="cs"/>
          <w:noProof w:val="0"/>
          <w:rtl/>
        </w:rPr>
        <w:t>ביניהם</w:t>
      </w:r>
      <w:r w:rsidR="00D41CB1">
        <w:rPr>
          <w:rFonts w:ascii="Arial" w:hAnsi="Arial" w:hint="cs"/>
          <w:noProof w:val="0"/>
          <w:rtl/>
        </w:rPr>
        <w:t>,</w:t>
      </w:r>
      <w:r>
        <w:rPr>
          <w:rFonts w:ascii="Arial" w:hAnsi="Arial" w:hint="cs"/>
          <w:noProof w:val="0"/>
          <w:rtl/>
        </w:rPr>
        <w:t xml:space="preserve"> ובכל זאת יצאה בסיום ההליך בפסיקה נמוכה יחסית של 7,261 ₪ בל</w:t>
      </w:r>
      <w:r w:rsidR="00D41CB1">
        <w:rPr>
          <w:rFonts w:ascii="Arial" w:hAnsi="Arial" w:hint="cs"/>
          <w:noProof w:val="0"/>
          <w:rtl/>
        </w:rPr>
        <w:t xml:space="preserve">בד, נראה כי הטענות בערעורה </w:t>
      </w:r>
      <w:r>
        <w:rPr>
          <w:rFonts w:ascii="Arial" w:hAnsi="Arial" w:hint="cs"/>
          <w:noProof w:val="0"/>
          <w:rtl/>
        </w:rPr>
        <w:t xml:space="preserve">אינן מוצדקות. </w:t>
      </w:r>
      <w:r w:rsidR="00D41CB1">
        <w:rPr>
          <w:rFonts w:ascii="Arial" w:hAnsi="Arial" w:hint="cs"/>
          <w:noProof w:val="0"/>
          <w:rtl/>
        </w:rPr>
        <w:t>דומה כי בנסיבות העניין,</w:t>
      </w:r>
      <w:r>
        <w:rPr>
          <w:rFonts w:ascii="Arial" w:hAnsi="Arial" w:hint="cs"/>
          <w:noProof w:val="0"/>
          <w:rtl/>
        </w:rPr>
        <w:t xml:space="preserve"> </w:t>
      </w:r>
      <w:r w:rsidR="00D41CB1">
        <w:rPr>
          <w:rFonts w:ascii="Arial" w:hAnsi="Arial" w:hint="cs"/>
          <w:noProof w:val="0"/>
          <w:rtl/>
        </w:rPr>
        <w:t>דרישת המשיבה כי ערכאת הערעור תצלול שוב</w:t>
      </w:r>
      <w:r>
        <w:rPr>
          <w:rFonts w:ascii="Arial" w:hAnsi="Arial" w:hint="cs"/>
          <w:noProof w:val="0"/>
          <w:rtl/>
        </w:rPr>
        <w:t xml:space="preserve"> לנבכי הראיות שהובאו בבית המשפט קמא </w:t>
      </w:r>
      <w:r w:rsidR="00D41CB1">
        <w:rPr>
          <w:rFonts w:ascii="Arial" w:hAnsi="Arial" w:hint="cs"/>
          <w:noProof w:val="0"/>
          <w:rtl/>
        </w:rPr>
        <w:t>ותבדוק כל חשבון וקביעה לגופה לאחר שהערכאה הדיונית נדרשה לכך, הגם שהסכום שנפסק הוא על הצד הנמוך</w:t>
      </w:r>
      <w:r w:rsidR="00EB2778">
        <w:rPr>
          <w:rFonts w:ascii="Arial" w:hAnsi="Arial" w:hint="cs"/>
          <w:noProof w:val="0"/>
          <w:rtl/>
        </w:rPr>
        <w:t xml:space="preserve">, </w:t>
      </w:r>
      <w:r w:rsidR="00D41CB1">
        <w:rPr>
          <w:rFonts w:ascii="Arial" w:hAnsi="Arial" w:hint="cs"/>
          <w:noProof w:val="0"/>
          <w:rtl/>
        </w:rPr>
        <w:t>אינה</w:t>
      </w:r>
      <w:r>
        <w:rPr>
          <w:rFonts w:ascii="Arial" w:hAnsi="Arial" w:hint="cs"/>
          <w:noProof w:val="0"/>
          <w:rtl/>
        </w:rPr>
        <w:t xml:space="preserve"> </w:t>
      </w:r>
      <w:r w:rsidR="00EB2778">
        <w:rPr>
          <w:rFonts w:ascii="Arial" w:hAnsi="Arial" w:hint="cs"/>
          <w:noProof w:val="0"/>
          <w:rtl/>
        </w:rPr>
        <w:t>סבירה</w:t>
      </w:r>
      <w:r>
        <w:rPr>
          <w:rFonts w:ascii="Arial" w:hAnsi="Arial" w:hint="cs"/>
          <w:noProof w:val="0"/>
          <w:rtl/>
        </w:rPr>
        <w:t xml:space="preserve">. כשם שהחלטתי להימנע מכך לערעור המערערת, אני </w:t>
      </w:r>
      <w:r w:rsidR="00EB2778">
        <w:rPr>
          <w:rFonts w:ascii="Arial" w:hAnsi="Arial" w:hint="cs"/>
          <w:noProof w:val="0"/>
          <w:rtl/>
        </w:rPr>
        <w:t>סבורה</w:t>
      </w:r>
      <w:r>
        <w:rPr>
          <w:rFonts w:ascii="Arial" w:hAnsi="Arial" w:hint="cs"/>
          <w:noProof w:val="0"/>
          <w:rtl/>
        </w:rPr>
        <w:t xml:space="preserve"> שיש לנהוג גזירה שווה ולנהוג גם</w:t>
      </w:r>
      <w:r w:rsidR="00EB2778">
        <w:rPr>
          <w:rFonts w:ascii="Arial" w:hAnsi="Arial" w:hint="cs"/>
          <w:noProof w:val="0"/>
          <w:rtl/>
        </w:rPr>
        <w:t>, מתוך קל וחומר,</w:t>
      </w:r>
      <w:r>
        <w:rPr>
          <w:rFonts w:ascii="Arial" w:hAnsi="Arial" w:hint="cs"/>
          <w:noProof w:val="0"/>
          <w:rtl/>
        </w:rPr>
        <w:t xml:space="preserve"> בערעור המשיב</w:t>
      </w:r>
      <w:r w:rsidR="00EB2778">
        <w:rPr>
          <w:rFonts w:ascii="Arial" w:hAnsi="Arial" w:hint="cs"/>
          <w:noProof w:val="0"/>
          <w:rtl/>
        </w:rPr>
        <w:t>ה</w:t>
      </w:r>
      <w:r>
        <w:rPr>
          <w:rFonts w:ascii="Arial" w:hAnsi="Arial" w:hint="cs"/>
          <w:noProof w:val="0"/>
          <w:rtl/>
        </w:rPr>
        <w:t>.</w:t>
      </w:r>
    </w:p>
    <w:p w:rsidR="00BA691A" w:rsidRDefault="00EB2778" w:rsidP="00C84FFA">
      <w:pPr>
        <w:spacing w:line="360" w:lineRule="auto"/>
        <w:ind w:left="720"/>
        <w:jc w:val="both"/>
        <w:rPr>
          <w:rFonts w:ascii="Arial" w:hAnsi="Arial"/>
          <w:noProof w:val="0"/>
          <w:rtl/>
        </w:rPr>
      </w:pPr>
      <w:r>
        <w:rPr>
          <w:rFonts w:ascii="Arial" w:hAnsi="Arial" w:hint="cs"/>
          <w:noProof w:val="0"/>
          <w:rtl/>
        </w:rPr>
        <w:t>אוסיף ואומר, כי טענות המשיבה</w:t>
      </w:r>
      <w:r w:rsidR="00BA691A">
        <w:rPr>
          <w:rFonts w:ascii="Arial" w:hAnsi="Arial" w:hint="cs"/>
          <w:noProof w:val="0"/>
          <w:rtl/>
        </w:rPr>
        <w:t xml:space="preserve">, כי שילמה למערערת לאורך השנים תשלומי יתר </w:t>
      </w:r>
      <w:r w:rsidR="009676D2">
        <w:rPr>
          <w:rFonts w:ascii="Arial" w:hAnsi="Arial" w:hint="cs"/>
          <w:noProof w:val="0"/>
          <w:rtl/>
        </w:rPr>
        <w:t xml:space="preserve">בסכום המגיע כדי 29,078 ₪ </w:t>
      </w:r>
      <w:r w:rsidR="009676D2" w:rsidRPr="00C84FFA">
        <w:rPr>
          <w:rFonts w:ascii="Arial" w:hAnsi="Arial" w:hint="cs"/>
          <w:noProof w:val="0"/>
          <w:rtl/>
        </w:rPr>
        <w:t>אינן מתיישבות  עם הגיונם של הדברים</w:t>
      </w:r>
      <w:r w:rsidR="00C84FFA">
        <w:rPr>
          <w:rFonts w:ascii="Arial" w:hAnsi="Arial" w:hint="cs"/>
          <w:noProof w:val="0"/>
          <w:rtl/>
        </w:rPr>
        <w:t xml:space="preserve">. הדעת נותנת כי המשיבה לא היתה מתנדבת לשלם ביתר, ודאי לא בהיקפים כאלה. אני מוצאת כי לא נפלה טעות </w:t>
      </w:r>
      <w:r w:rsidR="009676D2">
        <w:rPr>
          <w:rFonts w:ascii="Arial" w:hAnsi="Arial" w:hint="cs"/>
          <w:noProof w:val="0"/>
          <w:rtl/>
        </w:rPr>
        <w:t xml:space="preserve">בקביעותיו </w:t>
      </w:r>
      <w:r w:rsidR="00C84FFA">
        <w:rPr>
          <w:rFonts w:ascii="Arial" w:hAnsi="Arial" w:hint="cs"/>
          <w:noProof w:val="0"/>
          <w:rtl/>
        </w:rPr>
        <w:t>של בית המשפט קמא, גם ב</w:t>
      </w:r>
      <w:r w:rsidR="009676D2">
        <w:rPr>
          <w:rFonts w:ascii="Arial" w:hAnsi="Arial" w:hint="cs"/>
          <w:noProof w:val="0"/>
          <w:rtl/>
        </w:rPr>
        <w:t>עניין זה.</w:t>
      </w:r>
      <w:r w:rsidR="00C84FFA">
        <w:rPr>
          <w:rFonts w:ascii="Arial" w:hAnsi="Arial" w:hint="cs"/>
          <w:noProof w:val="0"/>
          <w:rtl/>
        </w:rPr>
        <w:t xml:space="preserve"> שיקול הדעת שהפעיל בית המשפט קמא ראוי, ואינו מצדיק את התערבותה של ערכאת הערעור.</w:t>
      </w:r>
    </w:p>
    <w:p w:rsidR="00304B44" w:rsidRDefault="00304B44" w:rsidP="00304B44">
      <w:pPr>
        <w:spacing w:line="360" w:lineRule="auto"/>
        <w:ind w:left="720" w:hanging="720"/>
        <w:jc w:val="both"/>
        <w:rPr>
          <w:rFonts w:ascii="Arial" w:hAnsi="Arial"/>
          <w:noProof w:val="0"/>
          <w:rtl/>
        </w:rPr>
      </w:pPr>
      <w:r>
        <w:rPr>
          <w:rFonts w:ascii="Arial" w:hAnsi="Arial"/>
          <w:noProof w:val="0"/>
          <w:rtl/>
        </w:rPr>
        <w:tab/>
      </w:r>
      <w:r w:rsidR="009676D2">
        <w:rPr>
          <w:rFonts w:ascii="Arial" w:hAnsi="Arial" w:hint="cs"/>
          <w:noProof w:val="0"/>
          <w:rtl/>
        </w:rPr>
        <w:t xml:space="preserve">אשר על כן, </w:t>
      </w:r>
      <w:r>
        <w:rPr>
          <w:rFonts w:ascii="Arial" w:hAnsi="Arial" w:hint="cs"/>
          <w:noProof w:val="0"/>
          <w:rtl/>
        </w:rPr>
        <w:t xml:space="preserve">הקביעות העקרוניות של בית המשפט קמא והתוצאות המעשיות שלהן מקובלות עלי ולא ראיתי לשנות מהן גם בעניין זה. </w:t>
      </w:r>
    </w:p>
    <w:p w:rsidR="00B214AF" w:rsidRDefault="00B214AF" w:rsidP="00304B44">
      <w:pPr>
        <w:spacing w:line="360" w:lineRule="auto"/>
        <w:ind w:left="720" w:hanging="720"/>
        <w:jc w:val="both"/>
        <w:rPr>
          <w:rFonts w:ascii="Arial" w:hAnsi="Arial"/>
          <w:noProof w:val="0"/>
          <w:rtl/>
        </w:rPr>
      </w:pPr>
    </w:p>
    <w:p w:rsidR="00B214AF" w:rsidRDefault="000B7147" w:rsidP="009676D2">
      <w:pPr>
        <w:spacing w:line="360" w:lineRule="auto"/>
        <w:ind w:left="720" w:hanging="720"/>
        <w:jc w:val="both"/>
        <w:rPr>
          <w:rFonts w:ascii="Arial" w:hAnsi="Arial"/>
          <w:noProof w:val="0"/>
          <w:rtl/>
        </w:rPr>
      </w:pPr>
      <w:r>
        <w:rPr>
          <w:rFonts w:ascii="Arial" w:hAnsi="Arial" w:hint="cs"/>
          <w:noProof w:val="0"/>
          <w:rtl/>
        </w:rPr>
        <w:t>61</w:t>
      </w:r>
      <w:r w:rsidR="00B214AF">
        <w:rPr>
          <w:rFonts w:ascii="Arial" w:hAnsi="Arial" w:hint="cs"/>
          <w:noProof w:val="0"/>
          <w:rtl/>
        </w:rPr>
        <w:t>.</w:t>
      </w:r>
      <w:r w:rsidR="00B214AF">
        <w:rPr>
          <w:rFonts w:ascii="Arial" w:hAnsi="Arial" w:hint="cs"/>
          <w:noProof w:val="0"/>
          <w:rtl/>
        </w:rPr>
        <w:tab/>
        <w:t xml:space="preserve">צר </w:t>
      </w:r>
      <w:r w:rsidR="00A769F5">
        <w:rPr>
          <w:rFonts w:ascii="Arial" w:hAnsi="Arial" w:hint="cs"/>
          <w:noProof w:val="0"/>
          <w:rtl/>
        </w:rPr>
        <w:t xml:space="preserve">לי </w:t>
      </w:r>
      <w:r w:rsidR="00B214AF">
        <w:rPr>
          <w:rFonts w:ascii="Arial" w:hAnsi="Arial" w:hint="cs"/>
          <w:noProof w:val="0"/>
          <w:rtl/>
        </w:rPr>
        <w:t>שמערכת היחסים ארוכת הטווח בין המערערת כפרקליטה מייצגת ובין המשיבה כלקוחה, מסתיימת באקורד צורם. היו ביניהן יחסי אמון, המערערת העניקה שירותי</w:t>
      </w:r>
      <w:r w:rsidR="00A769F5">
        <w:rPr>
          <w:rFonts w:ascii="Arial" w:hAnsi="Arial" w:hint="cs"/>
          <w:noProof w:val="0"/>
          <w:rtl/>
        </w:rPr>
        <w:t>ם</w:t>
      </w:r>
      <w:r w:rsidR="00B214AF">
        <w:rPr>
          <w:rFonts w:ascii="Arial" w:hAnsi="Arial" w:hint="cs"/>
          <w:noProof w:val="0"/>
          <w:rtl/>
        </w:rPr>
        <w:t xml:space="preserve"> ארוכי טווח למשיבה לאורך תקופה ארוכה והמשיבה נהנתה מפרי עבודתה של המערערת. </w:t>
      </w:r>
    </w:p>
    <w:p w:rsidR="00B214AF" w:rsidRPr="00E63172" w:rsidRDefault="00B214AF" w:rsidP="00E63172">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ישיבת יום 27.3.2024 זומנה גם כדי לעודד את הצדדים ליישב את המחלוקות ביניהם בדרכי שלום. משהדבר לא צלח</w:t>
      </w:r>
      <w:r w:rsidR="00A769F5">
        <w:rPr>
          <w:rFonts w:ascii="Arial" w:hAnsi="Arial" w:hint="cs"/>
          <w:noProof w:val="0"/>
          <w:rtl/>
        </w:rPr>
        <w:t>,</w:t>
      </w:r>
      <w:r>
        <w:rPr>
          <w:rFonts w:ascii="Arial" w:hAnsi="Arial" w:hint="cs"/>
          <w:noProof w:val="0"/>
          <w:rtl/>
        </w:rPr>
        <w:t xml:space="preserve"> אין לי אלא להכריע במחלוקות בדרך של אימוץ קביעתו של בית המשפט קמא, אותה אני מוצאת מושתתת על אדנים משפטיים </w:t>
      </w:r>
      <w:r w:rsidR="009676D2">
        <w:rPr>
          <w:rFonts w:ascii="Arial" w:hAnsi="Arial" w:hint="cs"/>
          <w:noProof w:val="0"/>
          <w:rtl/>
        </w:rPr>
        <w:t>ראויי</w:t>
      </w:r>
      <w:r w:rsidR="009676D2">
        <w:rPr>
          <w:rFonts w:ascii="Arial" w:hAnsi="Arial" w:hint="eastAsia"/>
          <w:noProof w:val="0"/>
          <w:rtl/>
        </w:rPr>
        <w:t>ם</w:t>
      </w:r>
      <w:r>
        <w:rPr>
          <w:rFonts w:ascii="Arial" w:hAnsi="Arial" w:hint="cs"/>
          <w:noProof w:val="0"/>
          <w:rtl/>
        </w:rPr>
        <w:t xml:space="preserve"> ועל קביעות משפטיות נכונות. </w:t>
      </w:r>
    </w:p>
    <w:p w:rsidR="00B214AF" w:rsidRPr="00B214AF" w:rsidRDefault="00B214AF" w:rsidP="00B214AF">
      <w:pPr>
        <w:spacing w:line="360" w:lineRule="auto"/>
        <w:ind w:left="720" w:hanging="720"/>
        <w:jc w:val="both"/>
        <w:rPr>
          <w:rFonts w:ascii="Arial" w:hAnsi="Arial"/>
          <w:b/>
          <w:bCs/>
          <w:noProof w:val="0"/>
          <w:sz w:val="26"/>
          <w:szCs w:val="26"/>
          <w:u w:val="single"/>
          <w:rtl/>
        </w:rPr>
      </w:pPr>
    </w:p>
    <w:p w:rsidR="00B214AF" w:rsidRPr="00B214AF" w:rsidRDefault="00B214AF" w:rsidP="00B214AF">
      <w:pPr>
        <w:spacing w:line="360" w:lineRule="auto"/>
        <w:ind w:left="720" w:hanging="720"/>
        <w:jc w:val="both"/>
        <w:rPr>
          <w:rFonts w:ascii="Arial" w:hAnsi="Arial"/>
          <w:b/>
          <w:bCs/>
          <w:noProof w:val="0"/>
          <w:sz w:val="26"/>
          <w:szCs w:val="26"/>
          <w:u w:val="single"/>
          <w:rtl/>
        </w:rPr>
      </w:pPr>
      <w:r w:rsidRPr="00B214AF">
        <w:rPr>
          <w:rFonts w:ascii="Arial" w:hAnsi="Arial" w:hint="cs"/>
          <w:b/>
          <w:bCs/>
          <w:noProof w:val="0"/>
          <w:sz w:val="26"/>
          <w:szCs w:val="26"/>
          <w:u w:val="single"/>
          <w:rtl/>
        </w:rPr>
        <w:t>סיכום:</w:t>
      </w:r>
    </w:p>
    <w:p w:rsidR="00B214AF" w:rsidRDefault="00B214AF" w:rsidP="00442867">
      <w:pPr>
        <w:spacing w:line="360" w:lineRule="auto"/>
        <w:jc w:val="both"/>
        <w:rPr>
          <w:rFonts w:ascii="Arial" w:hAnsi="Arial"/>
          <w:noProof w:val="0"/>
          <w:rtl/>
        </w:rPr>
      </w:pPr>
    </w:p>
    <w:p w:rsidR="00442867" w:rsidRDefault="000B7147" w:rsidP="008E56E9">
      <w:pPr>
        <w:spacing w:line="360" w:lineRule="auto"/>
        <w:ind w:left="720" w:hanging="720"/>
        <w:jc w:val="both"/>
        <w:rPr>
          <w:rFonts w:ascii="Arial" w:hAnsi="Arial"/>
          <w:noProof w:val="0"/>
          <w:rtl/>
        </w:rPr>
      </w:pPr>
      <w:r>
        <w:rPr>
          <w:rFonts w:ascii="Arial" w:hAnsi="Arial" w:hint="cs"/>
          <w:noProof w:val="0"/>
          <w:rtl/>
        </w:rPr>
        <w:t>62</w:t>
      </w:r>
      <w:r w:rsidR="00B214AF">
        <w:rPr>
          <w:rFonts w:ascii="Arial" w:hAnsi="Arial" w:hint="cs"/>
          <w:noProof w:val="0"/>
          <w:rtl/>
        </w:rPr>
        <w:t>.</w:t>
      </w:r>
      <w:r w:rsidR="00B214AF">
        <w:rPr>
          <w:rFonts w:ascii="Arial" w:hAnsi="Arial" w:hint="cs"/>
          <w:noProof w:val="0"/>
          <w:rtl/>
        </w:rPr>
        <w:tab/>
        <w:t>מן המקובץ לעיל, נדחים שני</w:t>
      </w:r>
      <w:r w:rsidR="008E56E9">
        <w:rPr>
          <w:rFonts w:ascii="Arial" w:hAnsi="Arial" w:hint="cs"/>
          <w:noProof w:val="0"/>
          <w:rtl/>
        </w:rPr>
        <w:t xml:space="preserve"> הערעורים הכרוכים זה בזה. אני מאשרת ומאמצת את קביעותיו של בית המשפט קמא בפסק דינו נשוא הערעור מיום </w:t>
      </w:r>
      <w:r w:rsidR="004A0D03">
        <w:rPr>
          <w:rFonts w:ascii="Arial" w:hAnsi="Arial" w:hint="cs"/>
          <w:noProof w:val="0"/>
          <w:rtl/>
        </w:rPr>
        <w:t>6.3.2023.</w:t>
      </w:r>
    </w:p>
    <w:p w:rsidR="004A0D03" w:rsidRDefault="004A0D03" w:rsidP="008E56E9">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לאור התוצאה אליה הגעתי, אני קובעת כי כל צד יישא בהוצאותיו. </w:t>
      </w:r>
    </w:p>
    <w:p w:rsidR="004A0D03" w:rsidRDefault="004A0D03" w:rsidP="008E56E9">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הפיקדונות שהופקדו יוחזרו למפקידים, כל אחד מהפיקדונות יוחזר למפקיד באמצעות עורך דינו, על פירותיו. </w:t>
      </w:r>
    </w:p>
    <w:p w:rsidR="00442867" w:rsidRPr="004A0D03" w:rsidRDefault="00442867" w:rsidP="00442867">
      <w:pPr>
        <w:spacing w:line="360" w:lineRule="auto"/>
        <w:jc w:val="both"/>
        <w:rPr>
          <w:rFonts w:ascii="Arial" w:hAnsi="Arial"/>
          <w:b/>
          <w:bCs/>
          <w:noProof w:val="0"/>
          <w:rtl/>
        </w:rPr>
      </w:pPr>
    </w:p>
    <w:p w:rsidR="00642712" w:rsidRPr="004A0D03" w:rsidRDefault="004A0D03">
      <w:pPr>
        <w:spacing w:line="360" w:lineRule="auto"/>
        <w:jc w:val="both"/>
        <w:rPr>
          <w:rFonts w:ascii="Arial" w:hAnsi="Arial"/>
          <w:b/>
          <w:bCs/>
          <w:noProof w:val="0"/>
          <w:rtl/>
        </w:rPr>
      </w:pPr>
      <w:r w:rsidRPr="004A0D03">
        <w:rPr>
          <w:rFonts w:ascii="Arial" w:hAnsi="Arial" w:hint="cs"/>
          <w:b/>
          <w:bCs/>
          <w:noProof w:val="0"/>
          <w:rtl/>
        </w:rPr>
        <w:t>המזכירות תדוור את פסק הדין לצדדים.</w:t>
      </w:r>
    </w:p>
    <w:p w:rsidR="00642712" w:rsidRDefault="00642712">
      <w:pPr>
        <w:spacing w:line="360" w:lineRule="auto"/>
        <w:jc w:val="both"/>
        <w:rPr>
          <w:rFonts w:ascii="Arial" w:hAnsi="Arial"/>
          <w:noProof w:val="0"/>
          <w:rtl/>
        </w:rPr>
      </w:pPr>
    </w:p>
    <w:p w:rsidR="00694556" w:rsidRDefault="00005C8B" w:rsidP="009676D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hint="cs"/>
              <w:rtl/>
            </w:rPr>
            <w:t>כ"א אדר 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hint="cs"/>
              <w:noProof w:val="0"/>
              <w:rtl/>
            </w:rPr>
            <w:t>31 מרץ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2B31A3" w:rsidP="00633C4F">
      <w:pPr>
        <w:spacing w:line="360" w:lineRule="auto"/>
        <w:ind w:left="3600" w:firstLine="720"/>
      </w:pPr>
      <w:sdt>
        <w:sdtPr>
          <w:rPr>
            <w:rtl/>
          </w:rPr>
          <w:alias w:val="MergeField"/>
          <w:tag w:val="1237"/>
          <w:id w:val="1386602306"/>
        </w:sdtPr>
        <w:sdtEndPr/>
        <w:sdtContent>
          <w:r w:rsidR="00A621B8">
            <w:drawing>
              <wp:inline distT="0" distB="0" distL="0" distR="0" wp14:editId="50D07946">
                <wp:extent cx="1211580" cy="5120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9" cstate="print">
                          <a:extLst/>
                        </a:blip>
                        <a:stretch>
                          <a:fillRect/>
                        </a:stretch>
                      </pic:blipFill>
                      <pic:spPr>
                        <a:xfrm>
                          <a:off x="0" y="0"/>
                          <a:ext cx="1211580" cy="512064"/>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6B5553">
      <w:headerReference w:type="even" r:id="rId20"/>
      <w:headerReference w:type="default" r:id="rId21"/>
      <w:footerReference w:type="even" r:id="rId22"/>
      <w:footerReference w:type="default" r:id="rId23"/>
      <w:headerReference w:type="first" r:id="rId24"/>
      <w:footerReference w:type="first" r:id="rId25"/>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31A3" w:rsidRDefault="002B31A3">
      <w:r>
        <w:separator/>
      </w:r>
    </w:p>
  </w:endnote>
  <w:endnote w:type="continuationSeparator" w:id="0">
    <w:p w:rsidR="002B31A3" w:rsidRDefault="002B3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261" w:rsidRDefault="00C8426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C7A3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C7A30">
      <w:rPr>
        <w:rStyle w:val="ab"/>
        <w:rtl/>
      </w:rPr>
      <w:t>20</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261" w:rsidRDefault="00C8426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31A3" w:rsidRDefault="002B31A3">
      <w:r>
        <w:separator/>
      </w:r>
    </w:p>
  </w:footnote>
  <w:footnote w:type="continuationSeparator" w:id="0">
    <w:p w:rsidR="002B31A3" w:rsidRDefault="002B3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261" w:rsidRDefault="00C8426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5DD70561" wp14:editId="1CF64098">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541598">
      <w:trPr>
        <w:trHeight w:hRule="exact" w:val="670"/>
        <w:jc w:val="center"/>
      </w:trPr>
      <w:sdt>
        <w:sdtPr>
          <w:rPr>
            <w:sz w:val="32"/>
            <w:szCs w:val="32"/>
            <w:rtl/>
          </w:rPr>
          <w:alias w:val="1174"/>
          <w:tag w:val="1174"/>
          <w:id w:val="-1775709220"/>
          <w:text/>
        </w:sdtPr>
        <w:sdtEndPr/>
        <w:sdtContent>
          <w:tc>
            <w:tcPr>
              <w:tcW w:w="8721" w:type="dxa"/>
              <w:gridSpan w:val="2"/>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CD0055">
      <w:trPr>
        <w:trHeight w:val="337"/>
        <w:jc w:val="center"/>
      </w:trPr>
      <w:tc>
        <w:tcPr>
          <w:tcW w:w="8721" w:type="dxa"/>
          <w:gridSpan w:val="2"/>
        </w:tcPr>
        <w:p w:rsidR="00694556" w:rsidRPr="00CD0055" w:rsidRDefault="002B31A3" w:rsidP="00FE71F4">
          <w:pPr>
            <w:rPr>
              <w:b/>
              <w:bCs/>
              <w:noProof w:val="0"/>
              <w:sz w:val="26"/>
              <w:szCs w:val="26"/>
              <w:rtl/>
            </w:rPr>
          </w:pPr>
          <w:sdt>
            <w:sdtPr>
              <w:rPr>
                <w:b/>
                <w:bCs/>
                <w:noProof w:val="0"/>
                <w:sz w:val="26"/>
                <w:szCs w:val="26"/>
                <w:rtl/>
              </w:rPr>
              <w:alias w:val="1170"/>
              <w:tag w:val="1170"/>
              <w:id w:val="299038016"/>
              <w:text w:multiLine="1"/>
            </w:sdtPr>
            <w:sdtEndPr/>
            <w:sdtContent>
              <w:r w:rsidR="006B5553">
                <w:rPr>
                  <w:b/>
                  <w:bCs/>
                  <w:noProof w:val="0"/>
                  <w:sz w:val="26"/>
                  <w:szCs w:val="26"/>
                  <w:rtl/>
                </w:rPr>
                <w:t>ע"א</w:t>
              </w:r>
            </w:sdtContent>
          </w:sdt>
          <w:r w:rsidR="00005C8B" w:rsidRPr="00CD0055">
            <w:rPr>
              <w:b/>
              <w:bCs/>
              <w:noProof w:val="0"/>
              <w:sz w:val="26"/>
              <w:szCs w:val="26"/>
              <w:rtl/>
            </w:rPr>
            <w:t xml:space="preserve"> </w:t>
          </w:r>
          <w:sdt>
            <w:sdtPr>
              <w:rPr>
                <w:b/>
                <w:bCs/>
                <w:noProof w:val="0"/>
                <w:sz w:val="26"/>
                <w:szCs w:val="26"/>
                <w:rtl/>
              </w:rPr>
              <w:alias w:val="1171"/>
              <w:tag w:val="1171"/>
              <w:id w:val="81650337"/>
              <w:text w:multiLine="1"/>
            </w:sdtPr>
            <w:sdtEndPr/>
            <w:sdtContent>
              <w:r w:rsidR="006B5553">
                <w:rPr>
                  <w:b/>
                  <w:bCs/>
                  <w:noProof w:val="0"/>
                  <w:sz w:val="26"/>
                  <w:szCs w:val="26"/>
                  <w:rtl/>
                </w:rPr>
                <w:t>36648-05-23</w:t>
              </w:r>
            </w:sdtContent>
          </w:sdt>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FE71F4">
                <w:rPr>
                  <w:b/>
                  <w:bCs/>
                  <w:noProof w:val="0"/>
                  <w:sz w:val="26"/>
                  <w:szCs w:val="26"/>
                </w:rPr>
                <w:t xml:space="preserve"> </w:t>
              </w:r>
              <w:r w:rsidR="00FE71F4">
                <w:rPr>
                  <w:rFonts w:hint="cs"/>
                  <w:b/>
                  <w:bCs/>
                  <w:noProof w:val="0"/>
                  <w:sz w:val="26"/>
                  <w:szCs w:val="26"/>
                  <w:rtl/>
                </w:rPr>
                <w:t>פלונית</w:t>
              </w:r>
              <w:r w:rsidR="006B5553">
                <w:rPr>
                  <w:b/>
                  <w:bCs/>
                  <w:noProof w:val="0"/>
                  <w:sz w:val="26"/>
                  <w:szCs w:val="26"/>
                  <w:rtl/>
                </w:rPr>
                <w:t xml:space="preserve"> נ' </w:t>
              </w:r>
              <w:r w:rsidR="00FE71F4">
                <w:rPr>
                  <w:rFonts w:hint="cs"/>
                  <w:b/>
                  <w:bCs/>
                  <w:noProof w:val="0"/>
                  <w:sz w:val="26"/>
                  <w:szCs w:val="26"/>
                  <w:rtl/>
                </w:rPr>
                <w:t>פלונית</w:t>
              </w:r>
            </w:sdtContent>
          </w:sdt>
        </w:p>
        <w:p w:rsidR="00694556" w:rsidRPr="00CD0055" w:rsidRDefault="00694556">
          <w:pPr>
            <w:rPr>
              <w:b/>
              <w:bCs/>
              <w:noProof w:val="0"/>
              <w:sz w:val="26"/>
              <w:szCs w:val="26"/>
              <w:rtl/>
            </w:rPr>
          </w:pPr>
        </w:p>
        <w:p w:rsidR="00957C90" w:rsidRPr="00CD0055" w:rsidRDefault="00957C90" w:rsidP="000B2E97">
          <w:pPr>
            <w:rPr>
              <w:b/>
              <w:bCs/>
              <w:noProof w:val="0"/>
              <w:sz w:val="26"/>
              <w:szCs w:val="26"/>
              <w:rtl/>
            </w:rPr>
          </w:pPr>
          <w:r w:rsidRPr="00CD0055">
            <w:rPr>
              <w:rFonts w:hint="cs"/>
              <w:b/>
              <w:bCs/>
              <w:noProof w:val="0"/>
              <w:sz w:val="26"/>
              <w:szCs w:val="26"/>
              <w:rtl/>
            </w:rPr>
            <w:t xml:space="preserve"> </w:t>
          </w:r>
          <w:r w:rsidR="00F83488">
            <w:rPr>
              <w:rFonts w:hint="cs"/>
              <w:b/>
              <w:bCs/>
              <w:noProof w:val="0"/>
              <w:sz w:val="26"/>
              <w:szCs w:val="26"/>
              <w:rtl/>
            </w:rPr>
            <w:t>31 למרץ 2024</w:t>
          </w:r>
        </w:p>
      </w:tc>
    </w:tr>
  </w:tbl>
  <w:p w:rsidR="00694556" w:rsidRPr="00CD0055"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261" w:rsidRDefault="00C8426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402C5D"/>
    <w:multiLevelType w:val="hybridMultilevel"/>
    <w:tmpl w:val="2BA0E7BE"/>
    <w:lvl w:ilvl="0" w:tplc="5538D90C">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B890C49"/>
    <w:multiLevelType w:val="hybridMultilevel"/>
    <w:tmpl w:val="86C239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4F663C"/>
    <w:multiLevelType w:val="hybridMultilevel"/>
    <w:tmpl w:val="277ABF36"/>
    <w:lvl w:ilvl="0" w:tplc="6242FE5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EBF0942"/>
    <w:multiLevelType w:val="hybridMultilevel"/>
    <w:tmpl w:val="930CA1A6"/>
    <w:lvl w:ilvl="0" w:tplc="53565C34">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24983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249836&amp;lt;/CaseID&amp;gt;_x000d__x000a_        &amp;lt;CaseMonth&amp;gt;5&amp;lt;/CaseMonth&amp;gt;_x000d__x000a_        &amp;lt;CaseYear&amp;gt;2023&amp;lt;/CaseYear&amp;gt;_x000d__x000a_        &amp;lt;CaseNumber&amp;gt;36648&amp;lt;/CaseNumber&amp;gt;_x000d__x000a_        &amp;lt;NumeratorGroupID&amp;gt;1&amp;lt;/NumeratorGroupID&amp;gt;_x000d__x000a_        &amp;lt;CaseName&amp;gt;ישראלוב פילוסוף נ&amp;#39; מז&amp;#39;יבובסקי&amp;lt;/CaseName&amp;gt;_x000d__x000a_        &amp;lt;CourtID&amp;gt;15&amp;lt;/CourtID&amp;gt;_x000d__x000a_        &amp;lt;CaseTypeID&amp;gt;10001&amp;lt;/CaseTypeID&amp;gt;_x000d__x000a_        &amp;lt;CaseInterestID&amp;gt;10433&amp;lt;/CaseInterestID&amp;gt;_x000d__x000a_        &amp;lt;CaseJudgeName&amp;gt;נועה גרוסמן&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1&amp;lt;/PrivilegeID&amp;gt;_x000d__x000a_        &amp;lt;IsAppealingCaseExist&amp;gt;false&amp;lt;/IsAppealingCaseExist&amp;gt;_x000d__x000a_        &amp;lt;CaseDisplayIdentifier&amp;gt;36648-05-23&amp;lt;/CaseDisplayIdentifier&amp;gt;_x000d__x000a_        &amp;lt;CaseTypeDesc&amp;gt;ע&amp;quot;א&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05-15T11:46:00+03:00&amp;lt;/CaseOpenDate&amp;gt;_x000d__x000a_        &amp;lt;PleaTypeID&amp;gt;6&amp;lt;/PleaTypeID&amp;gt;_x000d__x000a_        &amp;lt;CourtLevelID&amp;gt;2&amp;lt;/CourtLevelID&amp;gt;_x000d__x000a_        &amp;lt;CourtLevelCaseTypeInterestID&amp;gt;1477&amp;lt;/CourtLevelCaseTypeInterestID&amp;gt;_x000d__x000a_        &amp;lt;CaseJudgeFirstName&amp;gt;נועה&amp;lt;/CaseJudgeFirstName&amp;gt;_x000d__x000a_        &amp;lt;CaseJudgeLastName&amp;gt;גרוסמן&amp;lt;/CaseJudgeLastName&amp;gt;_x000d__x000a_        &amp;lt;JudicalPersonID&amp;gt;05792482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התיק עבר ללישכת הש&amp;#39; שגרוסמן.&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249836&amp;lt;/CaseID&amp;gt;_x000d__x000a_        &amp;lt;CaseMonth&amp;gt;5&amp;lt;/CaseMonth&amp;gt;_x000d__x000a_        &amp;lt;CaseYear&amp;gt;2023&amp;lt;/CaseYear&amp;gt;_x000d__x000a_        &amp;lt;CaseNumber&amp;gt;36648&amp;lt;/CaseNumber&amp;gt;_x000d__x000a_        &amp;lt;NumeratorGroupID&amp;gt;1&amp;lt;/NumeratorGroupID&amp;gt;_x000d__x000a_        &amp;lt;CaseName&amp;gt;ישראלוב פילוסוף נ&amp;#39; מז&amp;#39;יבובסקי&amp;lt;/CaseName&amp;gt;_x000d__x000a_        &amp;lt;CourtID&amp;gt;15&amp;lt;/CourtID&amp;gt;_x000d__x000a_        &amp;lt;CaseTypeID&amp;gt;10001&amp;lt;/CaseTypeID&amp;gt;_x000d__x000a_        &amp;lt;CaseInterestID&amp;gt;10433&amp;lt;/CaseInterestID&amp;gt;_x000d__x000a_        &amp;lt;CaseJudgeName&amp;gt;נועה גרוסמן&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1&amp;lt;/PrivilegeID&amp;gt;_x000d__x000a_        &amp;lt;IsAppealingCaseExist&amp;gt;false&amp;lt;/IsAppealingCaseExist&amp;gt;_x000d__x000a_        &amp;lt;CaseDisplayIdentifier&amp;gt;36648-05-23&amp;lt;/CaseDisplayIdentifier&amp;gt;_x000d__x000a_        &amp;lt;CaseTypeDesc&amp;gt;ע&amp;quot;א&amp;lt;/CaseTypeDesc&amp;gt;_x000d__x000a_        &amp;lt;CourtDesc&amp;gt;המחוזי תל אביב - יפו&amp;lt;/CourtDesc&amp;gt;_x000d__x000a_        &amp;lt;CaseStageDesc&amp;gt;תיק אלקטרוני&amp;lt;/CaseStageDesc&amp;gt;_x000d__x000a_        &amp;lt;CaseNextDeterminingTask&amp;gt;151&amp;lt;/CaseNextDeterminingTask&amp;gt;_x000d__x000a_        &amp;lt;CaseOpenDate&amp;gt;2023-05-15T11:46:00+03:00&amp;lt;/CaseOpenDate&amp;gt;_x000d__x000a_        &amp;lt;PleaTypeID&amp;gt;6&amp;lt;/PleaTypeID&amp;gt;_x000d__x000a_        &amp;lt;CourtLevelID&amp;gt;2&amp;lt;/CourtLevelID&amp;gt;_x000d__x000a_        &amp;lt;CourtLevelCaseTypeInterestID&amp;gt;1477&amp;lt;/CourtLevelCaseTypeInterestID&amp;gt;_x000d__x000a_        &amp;lt;CaseJudgeFirstName&amp;gt;נועה&amp;lt;/CaseJudgeFirstName&amp;gt;_x000d__x000a_        &amp;lt;CaseJudgeLastName&amp;gt;גרוסמן&amp;lt;/CaseJudgeLastName&amp;gt;_x000d__x000a_        &amp;lt;JudicalPersonID&amp;gt;05792482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התיק עבר ללישכת הש&amp;#39; שגרוסמן.&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9654201&amp;lt;/DecisionID&amp;gt;_x000d__x000a_        &amp;lt;DecisionName&amp;gt;פסק דין  שניתנה ע&amp;quot;י  נועה גרוסמן&amp;lt;/DecisionName&amp;gt;_x000d__x000a_        &amp;lt;DecisionStatusID&amp;gt;1&amp;lt;/DecisionStatusID&amp;gt;_x000d__x000a_        &amp;lt;DecisionStatusChangeDate&amp;gt;2024-03-31T11:41:46.76+03:00&amp;lt;/DecisionStatusChangeDate&amp;gt;_x000d__x000a_        &amp;lt;DecisionSignatureDate&amp;gt;2024-02-04T13:26:12.117+02:00&amp;lt;/DecisionSignatureDate&amp;gt;_x000d__x000a_        &amp;lt;DecisionSignatureUserID&amp;gt;057924821@GOV.IL&amp;lt;/DecisionSignatureUserID&amp;gt;_x000d__x000a_        &amp;lt;DecisionCreateDate&amp;gt;2024-02-04T13:29:18.25+02:00&amp;lt;/DecisionCreateDate&amp;gt;_x000d__x000a_        &amp;lt;DecisionChangeDate&amp;gt;2024-03-31T11:41:47.693+03:00&amp;lt;/DecisionChangeDate&amp;gt;_x000d__x000a_        &amp;lt;DecisionChangeUserID&amp;gt;03953162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33553542&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792482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4524647@GOV.IL&amp;lt;/DecisionCreationUserID&amp;gt;_x000d__x000a_        &amp;lt;DecisionDisplayName&amp;gt;פסק דין  שניתנה ע&amp;quot;י  נועה גרוסמן&amp;lt;/DecisionDisplayName&amp;gt;_x000d__x000a_        &amp;lt;IsScanned&amp;gt;false&amp;lt;/IsScanned&amp;gt;_x000d__x000a_        &amp;lt;DecisionSignatureUserName&amp;gt;נועה גרוס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amp;gt;_x000d__x000a_        &amp;lt;DecisionID&amp;gt;149654201&amp;lt;/DecisionID&amp;gt;_x000d__x000a_        &amp;lt;CaseID&amp;gt;80249836&amp;lt;/CaseID&amp;gt;_x000d__x000a_        &amp;lt;IsOriginal&amp;gt;true&amp;lt;/IsOriginal&amp;gt;_x000d__x000a_        &amp;lt;IsDeleted&amp;gt;false&amp;lt;/IsDeleted&amp;gt;_x000d__x000a_        &amp;lt;CaseName&amp;gt;ישראלוב פילוסוף נ&amp;#39; מז&amp;#39;יבובסקי&amp;lt;/CaseName&amp;gt;_x000d__x000a_        &amp;lt;CaseDisplayIdentifier&amp;gt;36648-05-23 ע&amp;quot;א&amp;lt;/CaseDisplayIdentifier&amp;gt;_x000d__x000a_      &amp;lt;/dt_DecisionCase&amp;gt;_x000d__x000a_    &amp;lt;/DecisionDS&amp;gt;_x000d__x000a_  &amp;lt;/diffgr:diffgram&amp;gt;_x000d__x000a_&amp;lt;/DecisionDS&amp;gt;"/>
    <w:docVar w:name="DecisionID" w:val="149654201"/>
    <w:docVar w:name="WordClientAssemblyName" w:val="NGCS.Decision.ClientWordBL"/>
    <w:docVar w:name="WordClientClassName" w:val="NGCS.Decision.ClientWordBL.DecisionClient"/>
  </w:docVars>
  <w:rsids>
    <w:rsidRoot w:val="00694556"/>
    <w:rsid w:val="00005C8B"/>
    <w:rsid w:val="000146C2"/>
    <w:rsid w:val="00016C35"/>
    <w:rsid w:val="00020D72"/>
    <w:rsid w:val="000258FD"/>
    <w:rsid w:val="000564AB"/>
    <w:rsid w:val="000B2E97"/>
    <w:rsid w:val="000B7147"/>
    <w:rsid w:val="000D4866"/>
    <w:rsid w:val="000D4A02"/>
    <w:rsid w:val="000F705E"/>
    <w:rsid w:val="001072A9"/>
    <w:rsid w:val="00110D0F"/>
    <w:rsid w:val="001136D8"/>
    <w:rsid w:val="00121F97"/>
    <w:rsid w:val="0012604E"/>
    <w:rsid w:val="001277D7"/>
    <w:rsid w:val="00132017"/>
    <w:rsid w:val="0014234E"/>
    <w:rsid w:val="00145A87"/>
    <w:rsid w:val="00160CA2"/>
    <w:rsid w:val="001B2F3E"/>
    <w:rsid w:val="001C4003"/>
    <w:rsid w:val="001E6FA5"/>
    <w:rsid w:val="001F5474"/>
    <w:rsid w:val="00214D2B"/>
    <w:rsid w:val="0023074D"/>
    <w:rsid w:val="002352F7"/>
    <w:rsid w:val="002474C0"/>
    <w:rsid w:val="00261729"/>
    <w:rsid w:val="00264A76"/>
    <w:rsid w:val="002845B1"/>
    <w:rsid w:val="0029346F"/>
    <w:rsid w:val="00295DD1"/>
    <w:rsid w:val="002B31A3"/>
    <w:rsid w:val="002D462F"/>
    <w:rsid w:val="002E2E40"/>
    <w:rsid w:val="002F0895"/>
    <w:rsid w:val="002F1001"/>
    <w:rsid w:val="00304B44"/>
    <w:rsid w:val="00305060"/>
    <w:rsid w:val="00327CB3"/>
    <w:rsid w:val="00381D3A"/>
    <w:rsid w:val="003823DA"/>
    <w:rsid w:val="003D1F00"/>
    <w:rsid w:val="003D4EDD"/>
    <w:rsid w:val="003F18FF"/>
    <w:rsid w:val="004009B8"/>
    <w:rsid w:val="00414ABB"/>
    <w:rsid w:val="00417FA7"/>
    <w:rsid w:val="004312C2"/>
    <w:rsid w:val="0043595F"/>
    <w:rsid w:val="00442867"/>
    <w:rsid w:val="004451B7"/>
    <w:rsid w:val="004458D5"/>
    <w:rsid w:val="00471F56"/>
    <w:rsid w:val="0047645A"/>
    <w:rsid w:val="004A0D03"/>
    <w:rsid w:val="004C1A53"/>
    <w:rsid w:val="004D1CB5"/>
    <w:rsid w:val="004D49A3"/>
    <w:rsid w:val="004E6E3C"/>
    <w:rsid w:val="004F4510"/>
    <w:rsid w:val="005124F1"/>
    <w:rsid w:val="0051350E"/>
    <w:rsid w:val="00523440"/>
    <w:rsid w:val="00530BAD"/>
    <w:rsid w:val="0053289F"/>
    <w:rsid w:val="00541598"/>
    <w:rsid w:val="00547DB7"/>
    <w:rsid w:val="00567324"/>
    <w:rsid w:val="00581349"/>
    <w:rsid w:val="005A58CC"/>
    <w:rsid w:val="005B0F49"/>
    <w:rsid w:val="005C7EC6"/>
    <w:rsid w:val="005D38E8"/>
    <w:rsid w:val="005D4BDB"/>
    <w:rsid w:val="005E704B"/>
    <w:rsid w:val="00606BB9"/>
    <w:rsid w:val="00614FFF"/>
    <w:rsid w:val="00622BAA"/>
    <w:rsid w:val="00622DC6"/>
    <w:rsid w:val="00625C89"/>
    <w:rsid w:val="00633C4F"/>
    <w:rsid w:val="00642712"/>
    <w:rsid w:val="00671BD5"/>
    <w:rsid w:val="006805C1"/>
    <w:rsid w:val="006816EC"/>
    <w:rsid w:val="00694556"/>
    <w:rsid w:val="006A1221"/>
    <w:rsid w:val="006A1893"/>
    <w:rsid w:val="006B32B2"/>
    <w:rsid w:val="006B5553"/>
    <w:rsid w:val="006C3A92"/>
    <w:rsid w:val="006C7A30"/>
    <w:rsid w:val="006E1A53"/>
    <w:rsid w:val="006F3E5C"/>
    <w:rsid w:val="00700B21"/>
    <w:rsid w:val="007056AA"/>
    <w:rsid w:val="0073402A"/>
    <w:rsid w:val="00744F41"/>
    <w:rsid w:val="00754842"/>
    <w:rsid w:val="007568C9"/>
    <w:rsid w:val="00764AB8"/>
    <w:rsid w:val="007A24FE"/>
    <w:rsid w:val="007A35AA"/>
    <w:rsid w:val="007E568D"/>
    <w:rsid w:val="007F1048"/>
    <w:rsid w:val="00820005"/>
    <w:rsid w:val="00823A9F"/>
    <w:rsid w:val="0083107C"/>
    <w:rsid w:val="0083210F"/>
    <w:rsid w:val="00832F06"/>
    <w:rsid w:val="00843FB4"/>
    <w:rsid w:val="00846D27"/>
    <w:rsid w:val="008504E9"/>
    <w:rsid w:val="008610A7"/>
    <w:rsid w:val="00871E0B"/>
    <w:rsid w:val="0089160E"/>
    <w:rsid w:val="008C202E"/>
    <w:rsid w:val="008D5807"/>
    <w:rsid w:val="008E1310"/>
    <w:rsid w:val="008E1332"/>
    <w:rsid w:val="008E56E9"/>
    <w:rsid w:val="00903896"/>
    <w:rsid w:val="00927813"/>
    <w:rsid w:val="00936EF8"/>
    <w:rsid w:val="009443E0"/>
    <w:rsid w:val="00944D13"/>
    <w:rsid w:val="00957C90"/>
    <w:rsid w:val="00966F75"/>
    <w:rsid w:val="009676D2"/>
    <w:rsid w:val="00967CC4"/>
    <w:rsid w:val="00971788"/>
    <w:rsid w:val="009717D1"/>
    <w:rsid w:val="00975B44"/>
    <w:rsid w:val="00980986"/>
    <w:rsid w:val="00996834"/>
    <w:rsid w:val="009B1002"/>
    <w:rsid w:val="009B4CE4"/>
    <w:rsid w:val="009D64AC"/>
    <w:rsid w:val="009E0263"/>
    <w:rsid w:val="009E364C"/>
    <w:rsid w:val="00A0260A"/>
    <w:rsid w:val="00A20A99"/>
    <w:rsid w:val="00A267CF"/>
    <w:rsid w:val="00A36475"/>
    <w:rsid w:val="00A43458"/>
    <w:rsid w:val="00A621B8"/>
    <w:rsid w:val="00A634B3"/>
    <w:rsid w:val="00A7603F"/>
    <w:rsid w:val="00A769F5"/>
    <w:rsid w:val="00A96DE3"/>
    <w:rsid w:val="00AA3915"/>
    <w:rsid w:val="00AB2B8F"/>
    <w:rsid w:val="00AC4E19"/>
    <w:rsid w:val="00AF1ED6"/>
    <w:rsid w:val="00B02FB0"/>
    <w:rsid w:val="00B13CBD"/>
    <w:rsid w:val="00B14DAF"/>
    <w:rsid w:val="00B214AF"/>
    <w:rsid w:val="00B32C61"/>
    <w:rsid w:val="00B368FE"/>
    <w:rsid w:val="00B4659D"/>
    <w:rsid w:val="00B57B3B"/>
    <w:rsid w:val="00B65B0F"/>
    <w:rsid w:val="00B66C78"/>
    <w:rsid w:val="00B80CBD"/>
    <w:rsid w:val="00BA5EC5"/>
    <w:rsid w:val="00BA691A"/>
    <w:rsid w:val="00BB093C"/>
    <w:rsid w:val="00BC3369"/>
    <w:rsid w:val="00BC571E"/>
    <w:rsid w:val="00BF52FF"/>
    <w:rsid w:val="00BF77EE"/>
    <w:rsid w:val="00C32E0F"/>
    <w:rsid w:val="00C42BF9"/>
    <w:rsid w:val="00C83E56"/>
    <w:rsid w:val="00C84261"/>
    <w:rsid w:val="00C84FFA"/>
    <w:rsid w:val="00C97C9B"/>
    <w:rsid w:val="00CD0055"/>
    <w:rsid w:val="00CE4B84"/>
    <w:rsid w:val="00D319B3"/>
    <w:rsid w:val="00D31E1C"/>
    <w:rsid w:val="00D33E4D"/>
    <w:rsid w:val="00D41CB1"/>
    <w:rsid w:val="00D45278"/>
    <w:rsid w:val="00D53924"/>
    <w:rsid w:val="00D563DE"/>
    <w:rsid w:val="00D60849"/>
    <w:rsid w:val="00D746B1"/>
    <w:rsid w:val="00D96D8C"/>
    <w:rsid w:val="00DA47D9"/>
    <w:rsid w:val="00DD337E"/>
    <w:rsid w:val="00DE1738"/>
    <w:rsid w:val="00E00B6F"/>
    <w:rsid w:val="00E1205C"/>
    <w:rsid w:val="00E156C9"/>
    <w:rsid w:val="00E50B33"/>
    <w:rsid w:val="00E54642"/>
    <w:rsid w:val="00E54971"/>
    <w:rsid w:val="00E63172"/>
    <w:rsid w:val="00E65B3C"/>
    <w:rsid w:val="00E7358A"/>
    <w:rsid w:val="00E97908"/>
    <w:rsid w:val="00EB2778"/>
    <w:rsid w:val="00EC43E7"/>
    <w:rsid w:val="00ED1BE0"/>
    <w:rsid w:val="00EF3ED0"/>
    <w:rsid w:val="00F13138"/>
    <w:rsid w:val="00F17E56"/>
    <w:rsid w:val="00F66E3C"/>
    <w:rsid w:val="00F73E69"/>
    <w:rsid w:val="00F807FA"/>
    <w:rsid w:val="00F83488"/>
    <w:rsid w:val="00F920D1"/>
    <w:rsid w:val="00FB7568"/>
    <w:rsid w:val="00FC012F"/>
    <w:rsid w:val="00FD507F"/>
    <w:rsid w:val="00FE71F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3">
    <w:name w:val="heading 3"/>
    <w:basedOn w:val="a"/>
    <w:next w:val="a"/>
    <w:link w:val="30"/>
    <w:semiHidden/>
    <w:unhideWhenUsed/>
    <w:qFormat/>
    <w:rsid w:val="00B66C78"/>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622DC6"/>
    <w:pPr>
      <w:ind w:left="720"/>
      <w:contextualSpacing/>
    </w:pPr>
  </w:style>
  <w:style w:type="character" w:styleId="Hyperlink">
    <w:name w:val="Hyperlink"/>
    <w:basedOn w:val="a0"/>
    <w:uiPriority w:val="99"/>
    <w:semiHidden/>
    <w:unhideWhenUsed/>
    <w:rsid w:val="003D1F00"/>
    <w:rPr>
      <w:color w:val="0000FF"/>
      <w:u w:val="single"/>
    </w:rPr>
  </w:style>
  <w:style w:type="character" w:customStyle="1" w:styleId="30">
    <w:name w:val="כותרת 3 תו"/>
    <w:basedOn w:val="a0"/>
    <w:link w:val="3"/>
    <w:semiHidden/>
    <w:rsid w:val="00B66C78"/>
    <w:rPr>
      <w:rFonts w:asciiTheme="majorHAnsi" w:eastAsiaTheme="majorEastAsia" w:hAnsiTheme="majorHAnsi" w:cstheme="majorBidi"/>
      <w:noProof/>
      <w:color w:val="243F60" w:themeColor="accent1" w:themeShade="7F"/>
      <w:sz w:val="24"/>
      <w:szCs w:val="24"/>
    </w:rPr>
  </w:style>
  <w:style w:type="paragraph" w:styleId="NormalWeb">
    <w:name w:val="Normal (Web)"/>
    <w:basedOn w:val="a"/>
    <w:uiPriority w:val="99"/>
    <w:unhideWhenUsed/>
    <w:rsid w:val="004312C2"/>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89396">
      <w:bodyDiv w:val="1"/>
      <w:marLeft w:val="0"/>
      <w:marRight w:val="0"/>
      <w:marTop w:val="0"/>
      <w:marBottom w:val="0"/>
      <w:divBdr>
        <w:top w:val="none" w:sz="0" w:space="0" w:color="auto"/>
        <w:left w:val="none" w:sz="0" w:space="0" w:color="auto"/>
        <w:bottom w:val="none" w:sz="0" w:space="0" w:color="auto"/>
        <w:right w:val="none" w:sz="0" w:space="0" w:color="auto"/>
      </w:divBdr>
    </w:div>
    <w:div w:id="323629636">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71740223">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76498228">
      <w:bodyDiv w:val="1"/>
      <w:marLeft w:val="0"/>
      <w:marRight w:val="0"/>
      <w:marTop w:val="0"/>
      <w:marBottom w:val="0"/>
      <w:divBdr>
        <w:top w:val="none" w:sz="0" w:space="0" w:color="auto"/>
        <w:left w:val="none" w:sz="0" w:space="0" w:color="auto"/>
        <w:bottom w:val="none" w:sz="0" w:space="0" w:color="auto"/>
        <w:right w:val="none" w:sz="0" w:space="0" w:color="auto"/>
      </w:divBdr>
    </w:div>
    <w:div w:id="2097164987">
      <w:bodyDiv w:val="1"/>
      <w:marLeft w:val="0"/>
      <w:marRight w:val="0"/>
      <w:marTop w:val="0"/>
      <w:marBottom w:val="0"/>
      <w:divBdr>
        <w:top w:val="none" w:sz="0" w:space="0" w:color="auto"/>
        <w:left w:val="none" w:sz="0" w:space="0" w:color="auto"/>
        <w:bottom w:val="none" w:sz="0" w:space="0" w:color="auto"/>
        <w:right w:val="none" w:sz="0" w:space="0" w:color="auto"/>
      </w:divBdr>
      <w:divsChild>
        <w:div w:id="962928849">
          <w:blockQuote w:val="1"/>
          <w:marLeft w:val="0"/>
          <w:marRight w:val="375"/>
          <w:marTop w:val="0"/>
          <w:marBottom w:val="525"/>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case/26062347" TargetMode="External"/><Relationship Id="rId18" Type="http://schemas.openxmlformats.org/officeDocument/2006/relationships/hyperlink" Target="http://www.nevo.co.il/law/71888"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www.nevo.co.il/case/23846945" TargetMode="External"/><Relationship Id="rId17" Type="http://schemas.openxmlformats.org/officeDocument/2006/relationships/hyperlink" Target="http://www.nevo.co.il/law/71888/46"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nevo.co.il/law/71888/26"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case/27925415"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www.nevo.co.il/safrut/bookgroup/596"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www.nevo.co.il/case/26732685" TargetMode="External"/><Relationship Id="rId19" Type="http://schemas.openxmlformats.org/officeDocument/2006/relationships/image" Target="media/image1.jpg"/><Relationship Id="rId4" Type="http://schemas.openxmlformats.org/officeDocument/2006/relationships/styles" Target="styles.xml"/><Relationship Id="rId9" Type="http://schemas.openxmlformats.org/officeDocument/2006/relationships/hyperlink" Target="http://www.nevo.co.il/case/25840432" TargetMode="External"/><Relationship Id="rId14" Type="http://schemas.openxmlformats.org/officeDocument/2006/relationships/hyperlink" Target="http://www.nevo.co.il/case/5973156" TargetMode="External"/><Relationship Id="rId22" Type="http://schemas.openxmlformats.org/officeDocument/2006/relationships/footer" Target="footer1.xml"/><Relationship Id="rId27"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227C29"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27C29"/>
    <w:rsid w:val="00552A37"/>
    <w:rsid w:val="005A405E"/>
    <w:rsid w:val="00CC551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551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80249836</CaseID>
    <CaseJudicialPersonPresentationDS>
      <CaseJudicalPersonActive>
        <CaseID>80249836</CaseID>
        <JudicialPersonID>057924821@GOV.IL</JudicialPersonID>
        <JudicialPersonTypeID>1</JudicialPersonTypeID>
        <JudicialTypeID>1</JudicialTypeID>
        <IsChairman>false</IsChairman>
        <TreatmentStartDate>2023-05-24T14:10:42.787+03:00</TreatmentStartDate>
        <TreatmentFinishDate>9999-12-31T23:59:59.997+02:00</TreatmentFinishDate>
        <IdentificationCardNumber>057924821</IdentificationCardNumber>
        <DisplayName>נועה גרוסמן</DisplayName>
        <JudicialTypeName>שופט</JudicialTypeName>
        <CaseJudicialGroupNumber>0</CaseJudicialGroupNumber>
        <FirstName>נועה</FirstName>
        <LastName>גרוסמן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אלה ישראלוב פילוסוף</FullName>
        <FirstName>אלה</FirstName>
        <LastName>ישראלוב פילוסוף</LastName>
        <PartyPropertyName/>
        <AuthenticationTypeAndNumber>מ.ר. 44834</AuthenticationTypeAndNumber>
        <RepresentatedOrRepresentativesNames>אלה ישראלוב פילוסוף</RepresentatedOrRepresentativesNames>
        <RepresentatedOrRepresentativesCount>1</RepresentatedOrRepresentativesCount>
        <InvitedBy/>
        <CaseID>80249836</CaseID>
        <CaseJudicialPersonPresentationDS>
          <CaseJudicalPersonActive>
            <CaseID>80249836</CaseID>
            <JudicialPersonID>057924821@GOV.IL</JudicialPersonID>
            <JudicialPersonTypeID>1</JudicialPersonTypeID>
            <JudicialTypeID>1</JudicialTypeID>
            <IsChairman>false</IsChairman>
            <TreatmentStartDate>2023-05-24T14:10:42.787+03:00</TreatmentStartDate>
            <TreatmentFinishDate>9999-12-31T23:59:59.997+02:00</TreatmentFinishDate>
            <IdentificationCardNumber>057924821</IdentificationCardNumber>
            <DisplayName>נועה גרוסמן</DisplayName>
            <JudicialTypeName>שופט</JudicialTypeName>
            <CaseJudicialGroupNumber>0</CaseJudicialGroupNumber>
            <FirstName>נועה</FirstName>
            <LastName>גרוסמן</LastName>
            <JudicialPersonTitle>שופט</JudicialPersonTitle>
          </CaseJudicalPersonActive>
        </CaseJudicialPersonPresentationDS>
        <CasePartyID>265674769</CasePartyID>
        <PartyTypeID>2</PartyTypeID>
        <ActivityStatusID>1</ActivityStatusID>
        <PartyAliasID>24</PartyAliasID>
        <PartyAliasName>בא כוח מערערים</PartyAliasName>
        <LegalEntityID>15882960</LegalEntityID>
        <CaseLegalEntityID>127571292</CaseLegalEntityID>
        <AuthenticationTypeID>4</AuthenticationTypeID>
        <AuthenticationTypeName>מ.ר.</AuthenticationTypeName>
        <LegalEntityNumber>44834</LegalEntityNumber>
        <IsMainPartyType>true</IsMainPartyType>
        <CaseDisplayIdentifier>36648-05-23</CaseDisplayIdentifier>
        <CaseTypeID>10001</CaseTypeID>
        <CaseTypeName>ערעור אזרחי (ע"א)</CaseTypeName>
        <CaseName>ישראלוב פילוסוף נ' מז'יבובסקי</CaseName>
        <FullAddress>הרב אפריאט 3 רמלה קומת קרקע, כניסה ד'</FullAddress>
        <EmailAddress>ella_law@017.net.il</EmailAddress>
        <MotionID>0</MotionID>
        <CasePleaID>0</CasePleaID>
        <LinkedCaseID>0</LinkedCaseID>
        <PartyID>1</PartyID>
        <CasePartyCategoryID>2</CasePartyCategoryID>
        <LegalEntityAddressID>88507185</LegalEntityAddressID>
        <LegalEntityEmailAddressID>67910288</LegalEntityEmailAddressID>
        <PleaTypeID>6</PleaTypeID>
        <LawyerOfficeName>משרד עו"ד אלה ישראלוב פילוסוף</LawyerOfficeName>
        <LawyerOfficeID>15882961</LawyerOfficeID>
        <GroupPartyAlias/>
        <IsConverted>false</IsConverted>
        <LegalEntityNameID>75690207</LegalEntityNameID>
        <RepresentatedNamesOfAssistant/>
        <LegalEntityTypeID>4</LegalEntityTypeID>
        <IsVerdictExists>false</IsVerdictExists>
        <IsAsirAzir>false</IsAsirAzir>
        <IsPublicationProhibited>false</IsPublicationProhibited>
        <PublicationProhibitedFullName>אלה ישראלוב פילוסוף</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אלה ישראלוב פילוסוף</FullName>
        <FirstName>אלה</FirstName>
        <LastName>ישראילוב פילוסוף</LastName>
        <PartyPropertyName/>
        <AuthenticationTypeAndNumber>ת"ז 307048116</AuthenticationTypeAndNumber>
        <RepresentatedOrRepresentativesNames>אלה ישראלוב פילוסוף</RepresentatedOrRepresentativesNames>
        <RepresentatedOrRepresentativesCount>1</RepresentatedOrRepresentativesCount>
        <InvitedBy/>
        <CaseID>80249836</CaseID>
        <CaseJudicialPersonPresentationDS>
          <CaseJudicalPersonActive>
            <CaseID>80249836</CaseID>
            <JudicialPersonID>057924821@GOV.IL</JudicialPersonID>
            <JudicialPersonTypeID>1</JudicialPersonTypeID>
            <JudicialTypeID>1</JudicialTypeID>
            <IsChairman>false</IsChairman>
            <TreatmentStartDate>2023-05-24T14:10:42.787+03:00</TreatmentStartDate>
            <TreatmentFinishDate>9999-12-31T23:59:59.997+02:00</TreatmentFinishDate>
            <IdentificationCardNumber>057924821</IdentificationCardNumber>
            <DisplayName>נועה גרוסמן</DisplayName>
            <JudicialTypeName>שופט</JudicialTypeName>
            <CaseJudicialGroupNumber>0</CaseJudicialGroupNumber>
            <FirstName>נועה</FirstName>
            <LastName>גרוסמן</LastName>
            <JudicialPersonTitle>שופט</JudicialPersonTitle>
          </CaseJudicalPersonActive>
        </CaseJudicialPersonPresentationDS>
        <CasePartyID>255654474</CasePartyID>
        <PartyTypeID>1</PartyTypeID>
        <ActivityStatusID>1</ActivityStatusID>
        <PartyAliasID>5</PartyAliasID>
        <PartyAliasName>מערער</PartyAliasName>
        <OrdinalNumber>1</OrdinalNumber>
        <LegalEntityID>72892307</LegalEntityID>
        <CaseLegalEntityID>124338347</CaseLegalEntityID>
        <AuthenticationTypeID>1</AuthenticationTypeID>
        <AuthenticationTypeName>ת"ז</AuthenticationTypeName>
        <LegalEntityNumber>307048116</LegalEntityNumber>
        <IsMainPartyType>true</IsMainPartyType>
        <CaseDisplayIdentifier>36648-05-23</CaseDisplayIdentifier>
        <CaseTypeID>10001</CaseTypeID>
        <CaseTypeName>ערעור אזרחי (ע"א)</CaseTypeName>
        <CaseName>ישראלוב פילוסוף נ' מז'יבובסקי</CaseName>
        <FullAddress/>
        <MotionID>0</MotionID>
        <CasePleaID>0</CasePleaID>
        <FatherName>דוד</FatherName>
        <LinkedCaseID>0</LinkedCaseID>
        <PartyID>1</PartyID>
        <CasePartyCategoryID>2</CasePartyCategoryID>
        <PleaTypeID>6</PleaTypeID>
        <GroupPartyAlias>מערערים</GroupPartyAlias>
        <IsConverted>false</IsConverted>
        <LegalEntityRegisteredNameID>9514907</LegalEntityRegisteredNameID>
        <LegalEntityNameID>91379774</LegalEntityNameID>
        <RepresentatedNamesOfAssistant/>
        <LegalEntityTypeID>1</LegalEntityTypeID>
        <IsVerdictExists>false</IsVerdictExists>
        <IsAsirAzir>false</IsAsirAzir>
        <IsPublicationProhibited>false</IsPublicationProhibited>
        <PublicationProhibitedFullName>אלה ישראלוב פילוסוף</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מריה מז'יבובסקי</FullName>
        <FirstName>מריה</FirstName>
        <LastName>מז'יבובסקי</LastName>
        <PartyPropertyName/>
        <AuthenticationTypeAndNumber>ת"ז 310980404</AuthenticationTypeAndNumber>
        <RepresentatedOrRepresentativesNames>מיכאל מדובי</RepresentatedOrRepresentativesNames>
        <RepresentatedOrRepresentativesCount>1</RepresentatedOrRepresentativesCount>
        <InvitedBy/>
        <CaseID>80249836</CaseID>
        <CaseJudicialPersonPresentationDS>
          <CaseJudicalPersonActive>
            <CaseID>80249836</CaseID>
            <JudicialPersonID>057924821@GOV.IL</JudicialPersonID>
            <JudicialPersonTypeID>1</JudicialPersonTypeID>
            <JudicialTypeID>1</JudicialTypeID>
            <IsChairman>false</IsChairman>
            <TreatmentStartDate>2023-05-24T14:10:42.787+03:00</TreatmentStartDate>
            <TreatmentFinishDate>9999-12-31T23:59:59.997+02:00</TreatmentFinishDate>
            <IdentificationCardNumber>057924821</IdentificationCardNumber>
            <DisplayName>נועה גרוסמן</DisplayName>
            <JudicialTypeName>שופט</JudicialTypeName>
            <CaseJudicialGroupNumber>0</CaseJudicialGroupNumber>
            <FirstName>נועה</FirstName>
            <LastName>גרוסמן</LastName>
            <JudicialPersonTitle>שופט</JudicialPersonTitle>
          </CaseJudicalPersonActive>
        </CaseJudicialPersonPresentationDS>
        <CasePartyID>255654475</CasePartyID>
        <PartyTypeID>1</PartyTypeID>
        <ActivityStatusID>1</ActivityStatusID>
        <PartyAliasID>4</PartyAliasID>
        <PartyAliasName>משיב</PartyAliasName>
        <OrdinalNumber>1</OrdinalNumber>
        <LegalEntityID>22148942</LegalEntityID>
        <CaseLegalEntityID>124338348</CaseLegalEntityID>
        <AuthenticationTypeID>1</AuthenticationTypeID>
        <AuthenticationTypeName>ת"ז</AuthenticationTypeName>
        <LegalEntityNumber>310980404</LegalEntityNumber>
        <IsMainPartyType>true</IsMainPartyType>
        <CaseDisplayIdentifier>36648-05-23</CaseDisplayIdentifier>
        <CaseTypeID>10001</CaseTypeID>
        <CaseTypeName>ערעור אזרחי (ע"א)</CaseTypeName>
        <CaseName>ישראלוב פילוסוף נ' מז'יבובסקי</CaseName>
        <FullAddress>צוקרמן 21 תל אביב -יפו </FullAddress>
        <MotionID>0</MotionID>
        <CasePleaID>0</CasePleaID>
        <FatherName>אלכסנדר</FatherName>
        <LinkedCaseID>0</LinkedCaseID>
        <PartyID>2</PartyID>
        <CasePartyCategoryID>2</CasePartyCategoryID>
        <LegalEntityAddressID>85185890</LegalEntityAddressID>
        <PleaTypeID>6</PleaTypeID>
        <GroupPartyAlias>משיבים</GroupPartyAlias>
        <IsConverted>false</IsConverted>
        <LegalEntityRegisteredNameID>5120805</LegalEntityRegisteredNameID>
        <LegalEntityNameID>91379775</LegalEntityNameID>
        <RepresentatedNamesOfAssistant/>
        <LegalEntityTypeID>1</LegalEntityTypeID>
        <IsVerdictExists>false</IsVerdictExists>
        <IsAsirAzir>false</IsAsirAzir>
        <IsPublicationProhibited>false</IsPublicationProhibited>
        <PublicationProhibitedFullName>מריה מז'יבובסקי</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מיכאל מדובי</FullName>
        <FirstName>מיכאל</FirstName>
        <LastName>מדובי</LastName>
        <PartyPropertyName/>
        <AuthenticationTypeAndNumber>מ.ר. 29193</AuthenticationTypeAndNumber>
        <RepresentatedOrRepresentativesNames>מריה מז'יבובסקי</RepresentatedOrRepresentativesNames>
        <RepresentatedOrRepresentativesCount>1</RepresentatedOrRepresentativesCount>
        <InvitedBy/>
        <CaseID>80249836</CaseID>
        <CaseJudicialPersonPresentationDS>
          <CaseJudicalPersonActive>
            <CaseID>80249836</CaseID>
            <JudicialPersonID>057924821@GOV.IL</JudicialPersonID>
            <JudicialPersonTypeID>1</JudicialPersonTypeID>
            <JudicialTypeID>1</JudicialTypeID>
            <IsChairman>false</IsChairman>
            <TreatmentStartDate>2023-05-24T14:10:42.787+03:00</TreatmentStartDate>
            <TreatmentFinishDate>9999-12-31T23:59:59.997+02:00</TreatmentFinishDate>
            <IdentificationCardNumber>057924821</IdentificationCardNumber>
            <DisplayName>נועה גרוסמן</DisplayName>
            <JudicialTypeName>שופט</JudicialTypeName>
            <CaseJudicialGroupNumber>0</CaseJudicialGroupNumber>
            <FirstName>נועה</FirstName>
            <LastName>גרוסמן</LastName>
            <JudicialPersonTitle>שופט</JudicialPersonTitle>
          </CaseJudicalPersonActive>
        </CaseJudicialPersonPresentationDS>
        <CasePartyID>255780443</CasePartyID>
        <PartyTypeID>2</PartyTypeID>
        <ActivityStatusID>1</ActivityStatusID>
        <PartyAliasID>23</PartyAliasID>
        <PartyAliasName>בא כוח משיבים</PartyAliasName>
        <OrdinalNumber>1</OrdinalNumber>
        <LegalEntityID>404469</LegalEntityID>
        <CaseLegalEntityID>124378759</CaseLegalEntityID>
        <AuthenticationTypeID>4</AuthenticationTypeID>
        <AuthenticationTypeName>מ.ר.</AuthenticationTypeName>
        <LegalEntityNumber>29193</LegalEntityNumber>
        <IsMainPartyType>true</IsMainPartyType>
        <CaseDisplayIdentifier>36648-05-23</CaseDisplayIdentifier>
        <CaseTypeID>10001</CaseTypeID>
        <CaseTypeName>ערעור אזרחי (ע"א)</CaseTypeName>
        <CaseName>ישראלוב פילוסוף נ' מז'יבובסקי</CaseName>
        <FullAddress>יגאל אלון 155ב תל אביב -יפו במשרד עו"ד ליאורה קלטניק</FullAddress>
        <EmailAddress>michaelmedovoy@gmail.com</EmailAddress>
        <MotionID>0</MotionID>
        <CasePleaID>0</CasePleaID>
        <FatherName xml:space="preserve">        </FatherName>
        <LinkedCaseID>0</LinkedCaseID>
        <PartyID>2</PartyID>
        <CasePartyCategoryID>2</CasePartyCategoryID>
        <LegalEntityAddressID>85472120</LegalEntityAddressID>
        <LegalEntityEmailAddressID>67918932</LegalEntityEmailAddressID>
        <PleaTypeID>6</PleaTypeID>
        <LawyerOfficeName>מיכאל מדובי</LawyerOfficeName>
        <LawyerOfficeID>73395298</LawyerOfficeID>
        <GroupPartyAlias/>
        <IsConverted>false</IsConverted>
        <LegalEntityNameID>25453</LegalEntityNameID>
        <RepresentatedNamesOfAssistant/>
        <LegalEntityTypeID>4</LegalEntityTypeID>
        <IsVerdictExists>false</IsVerdictExists>
        <IsAsirAzir>false</IsAsirAzir>
        <IsPublicationProhibited>false</IsPublicationProhibited>
        <PublicationProhibitedFullName>מיכאל מדובי</PublicationProhibitedFullName>
      </CaseParties>
    </CasePartiesSelectionDS>
    <DecisionName>פסק דין  שניתנה ע"י  נועה גרוסמן</DecisionName>
    <CourtDisplayName>בית המשפט המחוזי בתל אביב -יפו</CourtDisplayName>
    <IsCaseJudgePanel>false</IsCaseJudgePanel>
    <DecisionSignatureDate>2024-02-04T13:26:12.1169617+02:00</DecisionSignatureDate>
    <OpenCaseDate>2023-05-15T11:46:00+03:00</OpenCaseDate>
    <CaseFeeSum>0.000</CaseFeeSum>
    <DecisionTypeID>2</DecisionTypeID>
    <DecisionSignatureUserName>נועה גרוסמן</DecisionSignatureUserName>
    <DecisionSignatureDateHebrew>2024-02-04T13:26:12.1169617+02:00</DecisionSignatureDateHebrew>
    <DecisionWriterID>057924821@GOV.IL</DecisionWriterID>
    <CourtAddress>רח' ויצמן  1 היכל המשפט, תל אביב -יפו 64239</CourtAddress>
    <IsAutoTextInCaseExist>false</IsAutoTextInCaseExist>
    <DecisionSignatureRoleName>שופט</DecisionSignatureRoleName>
    <DecisionSignatureUserTitleName>שופטת</DecisionSignatureUserTitleName>
    <CaseName>ישראלוב פילוסוף נ' מז'יבובסקי</CaseName>
    <DecisionNumberInCase>10</DecisionNumberInCase>
  </dt_Decision>
  <dt_DecisionCase>
    <DecisionID>0</DecisionID>
    <CaseID>80249836</CaseID>
    <CaseJudicialPersonPresentationDS>
      <CaseJudicalPersonActive>
        <CaseID>80249836</CaseID>
        <JudicialPersonID>057924821@GOV.IL</JudicialPersonID>
        <JudicialPersonTypeID>1</JudicialPersonTypeID>
        <JudicialTypeID>1</JudicialTypeID>
        <IsChairman>false</IsChairman>
        <TreatmentStartDate>2023-05-24T14:10:42.787+03:00</TreatmentStartDate>
        <TreatmentFinishDate>9999-12-31T23:59:59.997+02:00</TreatmentFinishDate>
        <IdentificationCardNumber>057924821</IdentificationCardNumber>
        <DisplayName>נועה גרוסמן</DisplayName>
        <JudicialTypeName>שופט</JudicialTypeName>
        <CaseJudicialGroupNumber>0</CaseJudicialGroupNumber>
        <FirstName>נועה</FirstName>
        <LastName>גרוסמן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אלה ישראלוב פילוסוף</FullName>
        <FirstName>אלה</FirstName>
        <LastName>ישראלוב פילוסוף</LastName>
        <PartyPropertyName/>
        <AuthenticationTypeAndNumber>מ.ר. 44834</AuthenticationTypeAndNumber>
        <RepresentatedOrRepresentativesNames>אלה ישראלוב פילוסוף</RepresentatedOrRepresentativesNames>
        <RepresentatedOrRepresentativesCount>1</RepresentatedOrRepresentativesCount>
        <InvitedBy/>
        <CaseID>80249836</CaseID>
        <CaseJudicialPersonPresentationDS>
          <CaseJudicalPersonActive>
            <CaseID>80249836</CaseID>
            <JudicialPersonID>057924821@GOV.IL</JudicialPersonID>
            <JudicialPersonTypeID>1</JudicialPersonTypeID>
            <JudicialTypeID>1</JudicialTypeID>
            <IsChairman>false</IsChairman>
            <TreatmentStartDate>2023-05-24T14:10:42.787+03:00</TreatmentStartDate>
            <TreatmentFinishDate>9999-12-31T23:59:59.997+02:00</TreatmentFinishDate>
            <IdentificationCardNumber>057924821</IdentificationCardNumber>
            <DisplayName>נועה גרוסמן</DisplayName>
            <JudicialTypeName>שופט</JudicialTypeName>
            <CaseJudicialGroupNumber>0</CaseJudicialGroupNumber>
            <FirstName>נועה</FirstName>
            <LastName>גרוסמן</LastName>
            <JudicialPersonTitle>שופט</JudicialPersonTitle>
          </CaseJudicalPersonActive>
        </CaseJudicialPersonPresentationDS>
        <CasePartyID>265674769</CasePartyID>
        <PartyTypeID>2</PartyTypeID>
        <ActivityStatusID>1</ActivityStatusID>
        <PartyAliasID>24</PartyAliasID>
        <PartyAliasName>בא כוח מערערים</PartyAliasName>
        <LegalEntityID>15882960</LegalEntityID>
        <CaseLegalEntityID>127571292</CaseLegalEntityID>
        <AuthenticationTypeID>4</AuthenticationTypeID>
        <AuthenticationTypeName>מ.ר.</AuthenticationTypeName>
        <LegalEntityNumber>44834</LegalEntityNumber>
        <IsMainPartyType>true</IsMainPartyType>
        <CaseDisplayIdentifier>36648-05-23</CaseDisplayIdentifier>
        <CaseTypeID>10001</CaseTypeID>
        <CaseTypeName>ערעור אזרחי (ע"א)</CaseTypeName>
        <CaseName>ישראלוב פילוסוף נ' מז'יבובסקי</CaseName>
        <FullAddress>הרב אפריאט 3 רמלה קומת קרקע, כניסה ד'</FullAddress>
        <EmailAddress>ella_law@017.net.il</EmailAddress>
        <MotionID>0</MotionID>
        <CasePleaID>0</CasePleaID>
        <LinkedCaseID>0</LinkedCaseID>
        <PartyID>1</PartyID>
        <CasePartyCategoryID>2</CasePartyCategoryID>
        <LegalEntityAddressID>88507185</LegalEntityAddressID>
        <LegalEntityEmailAddressID>67910288</LegalEntityEmailAddressID>
        <PleaTypeID>6</PleaTypeID>
        <LawyerOfficeName>משרד עו"ד אלה ישראלוב פילוסוף</LawyerOfficeName>
        <LawyerOfficeID>15882961</LawyerOfficeID>
        <GroupPartyAlias/>
        <IsConverted>false</IsConverted>
        <LegalEntityNameID>75690207</LegalEntityNameID>
        <RepresentatedNamesOfAssistant/>
        <LegalEntityTypeID>4</LegalEntityTypeID>
        <IsVerdictExists>false</IsVerdictExists>
        <IsAsirAzir>false</IsAsirAzir>
        <IsPublicationProhibited>false</IsPublicationProhibited>
        <PublicationProhibitedFullName>אלה ישראלוב פילוסוף</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אלה ישראלוב פילוסוף</FullName>
        <FirstName>אלה</FirstName>
        <LastName>ישראילוב פילוסוף</LastName>
        <PartyPropertyName/>
        <AuthenticationTypeAndNumber>ת"ז 307048116</AuthenticationTypeAndNumber>
        <RepresentatedOrRepresentativesNames>אלה ישראלוב פילוסוף</RepresentatedOrRepresentativesNames>
        <RepresentatedOrRepresentativesCount>1</RepresentatedOrRepresentativesCount>
        <InvitedBy/>
        <CaseID>80249836</CaseID>
        <CaseJudicialPersonPresentationDS>
          <CaseJudicalPersonActive>
            <CaseID>80249836</CaseID>
            <JudicialPersonID>057924821@GOV.IL</JudicialPersonID>
            <JudicialPersonTypeID>1</JudicialPersonTypeID>
            <JudicialTypeID>1</JudicialTypeID>
            <IsChairman>false</IsChairman>
            <TreatmentStartDate>2023-05-24T14:10:42.787+03:00</TreatmentStartDate>
            <TreatmentFinishDate>9999-12-31T23:59:59.997+02:00</TreatmentFinishDate>
            <IdentificationCardNumber>057924821</IdentificationCardNumber>
            <DisplayName>נועה גרוסמן</DisplayName>
            <JudicialTypeName>שופט</JudicialTypeName>
            <CaseJudicialGroupNumber>0</CaseJudicialGroupNumber>
            <FirstName>נועה</FirstName>
            <LastName>גרוסמן</LastName>
            <JudicialPersonTitle>שופט</JudicialPersonTitle>
          </CaseJudicalPersonActive>
        </CaseJudicialPersonPresentationDS>
        <CasePartyID>255654474</CasePartyID>
        <PartyTypeID>1</PartyTypeID>
        <ActivityStatusID>1</ActivityStatusID>
        <PartyAliasID>5</PartyAliasID>
        <PartyAliasName>מערער</PartyAliasName>
        <OrdinalNumber>1</OrdinalNumber>
        <LegalEntityID>72892307</LegalEntityID>
        <CaseLegalEntityID>124338347</CaseLegalEntityID>
        <AuthenticationTypeID>1</AuthenticationTypeID>
        <AuthenticationTypeName>ת"ז</AuthenticationTypeName>
        <LegalEntityNumber>307048116</LegalEntityNumber>
        <IsMainPartyType>true</IsMainPartyType>
        <CaseDisplayIdentifier>36648-05-23</CaseDisplayIdentifier>
        <CaseTypeID>10001</CaseTypeID>
        <CaseTypeName>ערעור אזרחי (ע"א)</CaseTypeName>
        <CaseName>ישראלוב פילוסוף נ' מז'יבובסקי</CaseName>
        <FullAddress/>
        <MotionID>0</MotionID>
        <CasePleaID>0</CasePleaID>
        <FatherName>דוד</FatherName>
        <LinkedCaseID>0</LinkedCaseID>
        <PartyID>1</PartyID>
        <CasePartyCategoryID>2</CasePartyCategoryID>
        <PleaTypeID>6</PleaTypeID>
        <GroupPartyAlias>מערערים</GroupPartyAlias>
        <IsConverted>false</IsConverted>
        <LegalEntityRegisteredNameID>9514907</LegalEntityRegisteredNameID>
        <LegalEntityNameID>91379774</LegalEntityNameID>
        <RepresentatedNamesOfAssistant/>
        <LegalEntityTypeID>1</LegalEntityTypeID>
        <IsVerdictExists>false</IsVerdictExists>
        <IsAsirAzir>false</IsAsirAzir>
        <IsPublicationProhibited>false</IsPublicationProhibited>
        <PublicationProhibitedFullName>אלה ישראלוב פילוסוף</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מריה מז'יבובסקי</FullName>
        <FirstName>מריה</FirstName>
        <LastName>מז'יבובסקי</LastName>
        <PartyPropertyName/>
        <AuthenticationTypeAndNumber>ת"ז 310980404</AuthenticationTypeAndNumber>
        <RepresentatedOrRepresentativesNames>מיכאל מדובי</RepresentatedOrRepresentativesNames>
        <RepresentatedOrRepresentativesCount>1</RepresentatedOrRepresentativesCount>
        <InvitedBy/>
        <CaseID>80249836</CaseID>
        <CaseJudicialPersonPresentationDS>
          <CaseJudicalPersonActive>
            <CaseID>80249836</CaseID>
            <JudicialPersonID>057924821@GOV.IL</JudicialPersonID>
            <JudicialPersonTypeID>1</JudicialPersonTypeID>
            <JudicialTypeID>1</JudicialTypeID>
            <IsChairman>false</IsChairman>
            <TreatmentStartDate>2023-05-24T14:10:42.787+03:00</TreatmentStartDate>
            <TreatmentFinishDate>9999-12-31T23:59:59.997+02:00</TreatmentFinishDate>
            <IdentificationCardNumber>057924821</IdentificationCardNumber>
            <DisplayName>נועה גרוסמן</DisplayName>
            <JudicialTypeName>שופט</JudicialTypeName>
            <CaseJudicialGroupNumber>0</CaseJudicialGroupNumber>
            <FirstName>נועה</FirstName>
            <LastName>גרוסמן</LastName>
            <JudicialPersonTitle>שופט</JudicialPersonTitle>
          </CaseJudicalPersonActive>
        </CaseJudicialPersonPresentationDS>
        <CasePartyID>255654475</CasePartyID>
        <PartyTypeID>1</PartyTypeID>
        <ActivityStatusID>1</ActivityStatusID>
        <PartyAliasID>4</PartyAliasID>
        <PartyAliasName>משיב</PartyAliasName>
        <OrdinalNumber>1</OrdinalNumber>
        <LegalEntityID>22148942</LegalEntityID>
        <CaseLegalEntityID>124338348</CaseLegalEntityID>
        <AuthenticationTypeID>1</AuthenticationTypeID>
        <AuthenticationTypeName>ת"ז</AuthenticationTypeName>
        <LegalEntityNumber>310980404</LegalEntityNumber>
        <IsMainPartyType>true</IsMainPartyType>
        <CaseDisplayIdentifier>36648-05-23</CaseDisplayIdentifier>
        <CaseTypeID>10001</CaseTypeID>
        <CaseTypeName>ערעור אזרחי (ע"א)</CaseTypeName>
        <CaseName>ישראלוב פילוסוף נ' מז'יבובסקי</CaseName>
        <FullAddress>צוקרמן 21 תל אביב -יפו </FullAddress>
        <MotionID>0</MotionID>
        <CasePleaID>0</CasePleaID>
        <FatherName>אלכסנדר</FatherName>
        <LinkedCaseID>0</LinkedCaseID>
        <PartyID>2</PartyID>
        <CasePartyCategoryID>2</CasePartyCategoryID>
        <LegalEntityAddressID>85185890</LegalEntityAddressID>
        <PleaTypeID>6</PleaTypeID>
        <GroupPartyAlias>משיבים</GroupPartyAlias>
        <IsConverted>false</IsConverted>
        <LegalEntityRegisteredNameID>5120805</LegalEntityRegisteredNameID>
        <LegalEntityNameID>91379775</LegalEntityNameID>
        <RepresentatedNamesOfAssistant/>
        <LegalEntityTypeID>1</LegalEntityTypeID>
        <IsVerdictExists>false</IsVerdictExists>
        <IsAsirAzir>false</IsAsirAzir>
        <IsPublicationProhibited>false</IsPublicationProhibited>
        <PublicationProhibitedFullName>מריה מז'יבובסקי</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מיכאל מדובי</FullName>
        <FirstName>מיכאל</FirstName>
        <LastName>מדובי</LastName>
        <PartyPropertyName/>
        <AuthenticationTypeAndNumber>מ.ר. 29193</AuthenticationTypeAndNumber>
        <RepresentatedOrRepresentativesNames>מריה מז'יבובסקי</RepresentatedOrRepresentativesNames>
        <RepresentatedOrRepresentativesCount>1</RepresentatedOrRepresentativesCount>
        <InvitedBy/>
        <CaseID>80249836</CaseID>
        <CaseJudicialPersonPresentationDS>
          <CaseJudicalPersonActive>
            <CaseID>80249836</CaseID>
            <JudicialPersonID>057924821@GOV.IL</JudicialPersonID>
            <JudicialPersonTypeID>1</JudicialPersonTypeID>
            <JudicialTypeID>1</JudicialTypeID>
            <IsChairman>false</IsChairman>
            <TreatmentStartDate>2023-05-24T14:10:42.787+03:00</TreatmentStartDate>
            <TreatmentFinishDate>9999-12-31T23:59:59.997+02:00</TreatmentFinishDate>
            <IdentificationCardNumber>057924821</IdentificationCardNumber>
            <DisplayName>נועה גרוסמן</DisplayName>
            <JudicialTypeName>שופט</JudicialTypeName>
            <CaseJudicialGroupNumber>0</CaseJudicialGroupNumber>
            <FirstName>נועה</FirstName>
            <LastName>גרוסמן</LastName>
            <JudicialPersonTitle>שופט</JudicialPersonTitle>
          </CaseJudicalPersonActive>
        </CaseJudicialPersonPresentationDS>
        <CasePartyID>255780443</CasePartyID>
        <PartyTypeID>2</PartyTypeID>
        <ActivityStatusID>1</ActivityStatusID>
        <PartyAliasID>23</PartyAliasID>
        <PartyAliasName>בא כוח משיבים</PartyAliasName>
        <OrdinalNumber>1</OrdinalNumber>
        <LegalEntityID>404469</LegalEntityID>
        <CaseLegalEntityID>124378759</CaseLegalEntityID>
        <AuthenticationTypeID>4</AuthenticationTypeID>
        <AuthenticationTypeName>מ.ר.</AuthenticationTypeName>
        <LegalEntityNumber>29193</LegalEntityNumber>
        <IsMainPartyType>true</IsMainPartyType>
        <CaseDisplayIdentifier>36648-05-23</CaseDisplayIdentifier>
        <CaseTypeID>10001</CaseTypeID>
        <CaseTypeName>ערעור אזרחי (ע"א)</CaseTypeName>
        <CaseName>ישראלוב פילוסוף נ' מז'יבובסקי</CaseName>
        <FullAddress>יגאל אלון 155ב תל אביב -יפו במשרד עו"ד ליאורה קלטניק</FullAddress>
        <EmailAddress>michaelmedovoy@gmail.com</EmailAddress>
        <MotionID>0</MotionID>
        <CasePleaID>0</CasePleaID>
        <FatherName xml:space="preserve">        </FatherName>
        <LinkedCaseID>0</LinkedCaseID>
        <PartyID>2</PartyID>
        <CasePartyCategoryID>2</CasePartyCategoryID>
        <LegalEntityAddressID>85472120</LegalEntityAddressID>
        <LegalEntityEmailAddressID>67918932</LegalEntityEmailAddressID>
        <PleaTypeID>6</PleaTypeID>
        <LawyerOfficeName>מיכאל מדובי</LawyerOfficeName>
        <LawyerOfficeID>73395298</LawyerOfficeID>
        <GroupPartyAlias/>
        <IsConverted>false</IsConverted>
        <LegalEntityNameID>25453</LegalEntityNameID>
        <RepresentatedNamesOfAssistant/>
        <LegalEntityTypeID>4</LegalEntityTypeID>
        <IsVerdictExists>false</IsVerdictExists>
        <IsAsirAzir>false</IsAsirAzir>
        <IsPublicationProhibited>false</IsPublicationProhibited>
        <PublicationProhibitedFullName>מיכאל מדובי</PublicationProhibitedFullName>
      </CaseParties>
    </CasePartiesSelectionDS>
    <CaseName>ישראלוב פילוסוף נ' מז'יבובסקי</CaseName>
    <CaseDisplayIdentifier>36648-05-23</CaseDisplayIdentifier>
    <CaseInterestID>10433</CaseInterestID>
    <CaseTypeShortName>ע"א</CaseTypeShortName>
  </dt_DecisionCase>
  <dt_DecisionJudgePanel>
    <JudgeID>057924821@GOV.IL</JudgeID>
    <DisplayName>נועה גרוסמן</DisplayName>
    <RoleName>שופט</RoleName>
    <UserTitleName>שופטת</UserTitleName>
  </dt_DecisionJudgePanel>
  <dt_LegalEntityDetails>
    <Fax>08-6349915</Fax>
    <Phone>08-6349909</Phone>
    <AddressDesc>קומת קרקע, כניסה ד'</AddressDesc>
    <PartyID>1</PartyID>
    <PartyTypeID>2</PartyTypeID>
    <DecisionID>0</DecisionID>
    <StreetName>הרב אפריאט 3</StreetName>
    <ZipCode>7228205</ZipCode>
    <CityName>רמלה</CityName>
    <FullName>אלה ישראלוב פילוסוף</FullName>
    <Email>ella_law@017.net.il</Email>
    <IsPublicationProhibited>false</IsPublicationProhibited>
  </dt_LegalEntityDetails>
  <dt_LegalEntityDetails>
    <PartyID>1</PartyID>
    <PartyTypeID>1</PartyTypeID>
    <DecisionID>0</DecisionID>
    <FullName>אלה ישראלוב פילוסוף</FullName>
    <IsPublicationProhibited>false</IsPublicationProhibited>
  </dt_LegalEntityDetails>
  <dt_LegalEntityDetails>
    <PartyID>2</PartyID>
    <PartyTypeID>1</PartyTypeID>
    <DecisionID>0</DecisionID>
    <StreetName>צוקרמן 21</StreetName>
    <CityName>תל אביב -יפו</CityName>
    <FullName>מריה מז'יבובסקי</FullName>
    <IsPublicationProhibited>false</IsPublicationProhibited>
  </dt_LegalEntityDetails>
  <dt_LegalEntityDetails>
    <Fax>03-5600540</Fax>
    <Phone>03-5604665</Phone>
    <AddressDesc>במשרד עו"ד ליאורה קלטניק</AddressDesc>
    <PartyID>2</PartyID>
    <PartyTypeID>2</PartyTypeID>
    <DecisionID>0</DecisionID>
    <StreetName>יגאל אלון 155ב</StreetName>
    <ZipCode>6744363</ZipCode>
    <CityName>תל אביב -יפו</CityName>
    <FullName>מיכאל מדובי</FullName>
    <Email>michaelmedovoy@gmail.com</Email>
    <IsPublicationProhibited>false</IsPublicationProhibited>
  </dt_LegalEntityDetails>
  <dt_CaseJudicalPersonActive>
    <CaseJudicalPerson>שופטת נועה גרוסמן</CaseJudicalPerson>
  </dt_CaseJudicalPersonActive>
  <dt_Sitting/>
</DecisionTemplateDS>
</file>

<file path=customXml/itemProps1.xml><?xml version="1.0" encoding="utf-8"?>
<ds:datastoreItem xmlns:ds="http://schemas.openxmlformats.org/officeDocument/2006/customXml" ds:itemID="{7C192ACF-635A-4342-A2C9-3441C4B0872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5755</Words>
  <Characters>28776</Characters>
  <Application>Microsoft Office Word</Application>
  <DocSecurity>0</DocSecurity>
  <Lines>239</Lines>
  <Paragraphs>68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2024-02-13T08:38:00Z</cp:lastPrinted>
  <dcterms:created xsi:type="dcterms:W3CDTF">2024-09-10T06:22:00Z</dcterms:created>
  <dcterms:modified xsi:type="dcterms:W3CDTF">2024-09-10T06:22:00Z</dcterms:modified>
</cp:coreProperties>
</file>